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056E38" w:rsidP="00E86F6E">
      <w:pPr>
        <w:spacing w:after="0" w:line="240" w:lineRule="auto"/>
        <w:rPr>
          <w:rStyle w:val="Hyperlink"/>
          <w:rFonts w:cstheme="majorHAnsi"/>
          <w:color w:val="505050"/>
          <w:sz w:val="20"/>
          <w:szCs w:val="20"/>
        </w:rPr>
      </w:pPr>
      <w:hyperlink r:id="rId8" w:history="1">
        <w:r w:rsidR="001A4CBF"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76507853" w:rsidR="00E86F6E" w:rsidRDefault="00B22954"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11th</w:t>
      </w:r>
      <w:r w:rsidR="005503B0">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November</w:t>
      </w:r>
      <w:r w:rsidR="00E86F6E" w:rsidRPr="008B64C2">
        <w:rPr>
          <w:rFonts w:asciiTheme="majorHAnsi" w:hAnsiTheme="majorHAnsi" w:cstheme="majorHAnsi"/>
          <w:b/>
          <w:bCs/>
          <w:sz w:val="20"/>
          <w:szCs w:val="20"/>
          <w:u w:val="single"/>
        </w:rPr>
        <w:t xml:space="preserve"> 202</w:t>
      </w:r>
      <w:r w:rsidR="001A4CBF">
        <w:rPr>
          <w:rFonts w:asciiTheme="majorHAnsi" w:hAnsiTheme="majorHAnsi" w:cstheme="majorHAnsi"/>
          <w:b/>
          <w:bCs/>
          <w:sz w:val="20"/>
          <w:szCs w:val="20"/>
          <w:u w:val="single"/>
        </w:rPr>
        <w:t>4</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52C6EA0D" w14:textId="77777777" w:rsidR="00011304" w:rsidRPr="00011304" w:rsidRDefault="00011304" w:rsidP="00011304">
      <w:pPr>
        <w:rPr>
          <w:rFonts w:asciiTheme="majorHAnsi" w:eastAsiaTheme="majorEastAsia" w:hAnsiTheme="majorHAnsi" w:cstheme="majorBidi"/>
          <w:b/>
          <w:bCs/>
          <w:sz w:val="32"/>
          <w:szCs w:val="32"/>
        </w:rPr>
      </w:pPr>
      <w:r w:rsidRPr="00011304">
        <w:rPr>
          <w:rFonts w:asciiTheme="majorHAnsi" w:eastAsiaTheme="majorEastAsia" w:hAnsiTheme="majorHAnsi" w:cstheme="majorBidi"/>
          <w:b/>
          <w:bCs/>
          <w:sz w:val="32"/>
          <w:szCs w:val="32"/>
        </w:rPr>
        <w:t>October 2024 Sees Growth in Eating and Drinking Out Market Amid Easing Financial Pressure, Finds Lumina Intelligence</w:t>
      </w:r>
    </w:p>
    <w:p w14:paraId="65B092A9" w14:textId="20A61E2A" w:rsidR="00011304" w:rsidRPr="00011304" w:rsidRDefault="00011304" w:rsidP="00011304">
      <w:pPr>
        <w:rPr>
          <w:rFonts w:asciiTheme="majorHAnsi" w:eastAsiaTheme="majorEastAsia" w:hAnsiTheme="majorHAnsi" w:cstheme="majorBidi"/>
        </w:rPr>
      </w:pPr>
      <w:r w:rsidRPr="00011304">
        <w:rPr>
          <w:rFonts w:asciiTheme="majorHAnsi" w:eastAsiaTheme="majorEastAsia" w:hAnsiTheme="majorHAnsi" w:cstheme="majorBidi"/>
        </w:rPr>
        <w:t xml:space="preserve">Lumina Intelligence’s latest </w:t>
      </w:r>
      <w:hyperlink r:id="rId9" w:history="1">
        <w:r w:rsidRPr="00011304">
          <w:rPr>
            <w:rStyle w:val="Hyperlink"/>
            <w:rFonts w:asciiTheme="majorHAnsi" w:eastAsiaTheme="majorEastAsia" w:hAnsiTheme="majorHAnsi" w:cstheme="majorBidi"/>
          </w:rPr>
          <w:t>Eating and Drinking Out Panel (EDOP)</w:t>
        </w:r>
      </w:hyperlink>
      <w:r w:rsidRPr="00011304">
        <w:rPr>
          <w:rFonts w:asciiTheme="majorHAnsi" w:eastAsiaTheme="majorEastAsia" w:hAnsiTheme="majorHAnsi" w:cstheme="majorBidi"/>
        </w:rPr>
        <w:t xml:space="preserve"> </w:t>
      </w:r>
      <w:r w:rsidR="00056E38">
        <w:rPr>
          <w:rFonts w:asciiTheme="majorHAnsi" w:eastAsiaTheme="majorEastAsia" w:hAnsiTheme="majorHAnsi" w:cstheme="majorBidi"/>
        </w:rPr>
        <w:t>data</w:t>
      </w:r>
      <w:r w:rsidRPr="00011304">
        <w:rPr>
          <w:rFonts w:asciiTheme="majorHAnsi" w:eastAsiaTheme="majorEastAsia" w:hAnsiTheme="majorHAnsi" w:cstheme="majorBidi"/>
        </w:rPr>
        <w:t xml:space="preserve"> reveals improvement in the UK’s eating and drinking out market</w:t>
      </w:r>
      <w:r w:rsidR="00056E38">
        <w:rPr>
          <w:rFonts w:asciiTheme="majorHAnsi" w:eastAsiaTheme="majorEastAsia" w:hAnsiTheme="majorHAnsi" w:cstheme="majorBidi"/>
        </w:rPr>
        <w:t xml:space="preserve"> for October 2024, </w:t>
      </w:r>
      <w:r w:rsidRPr="00011304">
        <w:rPr>
          <w:rFonts w:asciiTheme="majorHAnsi" w:eastAsiaTheme="majorEastAsia" w:hAnsiTheme="majorHAnsi" w:cstheme="majorBidi"/>
        </w:rPr>
        <w:t>as consumers return to more frequent outings and spend more on average per visit. The findings highlight that with easing financial pressures and stable autumnal weather, market performance metrics have seen considerable growth across key indicators.</w:t>
      </w:r>
    </w:p>
    <w:p w14:paraId="41F7470B" w14:textId="77777777" w:rsidR="00011304" w:rsidRPr="00011304" w:rsidRDefault="00011304" w:rsidP="00011304">
      <w:pPr>
        <w:rPr>
          <w:rFonts w:asciiTheme="majorHAnsi" w:eastAsiaTheme="majorEastAsia" w:hAnsiTheme="majorHAnsi" w:cstheme="majorBidi"/>
        </w:rPr>
      </w:pPr>
      <w:r w:rsidRPr="00011304">
        <w:rPr>
          <w:rFonts w:asciiTheme="majorHAnsi" w:eastAsiaTheme="majorEastAsia" w:hAnsiTheme="majorHAnsi" w:cstheme="majorBidi"/>
        </w:rPr>
        <w:t xml:space="preserve">Market penetration has increased by 3.4 percentage points to 59.9%, while the frequency of visits climbed by 9.0% to an average of 1.6 visits per consumer. Average </w:t>
      </w:r>
      <w:proofErr w:type="gramStart"/>
      <w:r w:rsidRPr="00011304">
        <w:rPr>
          <w:rFonts w:asciiTheme="majorHAnsi" w:eastAsiaTheme="majorEastAsia" w:hAnsiTheme="majorHAnsi" w:cstheme="majorBidi"/>
        </w:rPr>
        <w:t>spend</w:t>
      </w:r>
      <w:proofErr w:type="gramEnd"/>
      <w:r w:rsidRPr="00011304">
        <w:rPr>
          <w:rFonts w:asciiTheme="majorHAnsi" w:eastAsiaTheme="majorEastAsia" w:hAnsiTheme="majorHAnsi" w:cstheme="majorBidi"/>
        </w:rPr>
        <w:t xml:space="preserve"> per visit also rose significantly by 18.8% year-on-year, reaching £19.35. Together, these figures underscore stronger consumer engagement and heightened activity in the market, driven by growing consumer confidence and the financial flexibility to enjoy social occasions.</w:t>
      </w:r>
    </w:p>
    <w:p w14:paraId="466D4F2E" w14:textId="77777777" w:rsidR="00011304" w:rsidRPr="00011304" w:rsidRDefault="00011304" w:rsidP="00011304">
      <w:pPr>
        <w:rPr>
          <w:rFonts w:asciiTheme="majorHAnsi" w:eastAsiaTheme="majorEastAsia" w:hAnsiTheme="majorHAnsi" w:cstheme="majorBidi"/>
        </w:rPr>
      </w:pPr>
      <w:r w:rsidRPr="00011304">
        <w:rPr>
          <w:rFonts w:asciiTheme="majorHAnsi" w:eastAsiaTheme="majorEastAsia" w:hAnsiTheme="majorHAnsi" w:cstheme="majorBidi"/>
        </w:rPr>
        <w:t>This shift in consumer behaviour has also brought about notable changes in where consumers are choosing to visit. Pubs and bars saw an upturn in popularity in October, gaining a 3.3 percentage point increase in visit share to reach 17% of total occasions. This resurgence signals a shift towards social-led gatherings, as consumers return to pubs and bars for drink-focused occasions. The rise in pub visits contrasts with declines in share for retail, quick service restaurants (QSR), and coffee and sandwich shops, indicating a rebalancing from necessity-driven, on-the-go visits towards more social settings.</w:t>
      </w:r>
    </w:p>
    <w:p w14:paraId="6A837DE9" w14:textId="36257281" w:rsidR="00011304" w:rsidRPr="00011304" w:rsidRDefault="00011304" w:rsidP="00011304">
      <w:pPr>
        <w:rPr>
          <w:rFonts w:asciiTheme="majorHAnsi" w:eastAsiaTheme="majorEastAsia" w:hAnsiTheme="majorHAnsi" w:cstheme="majorBidi"/>
        </w:rPr>
      </w:pPr>
      <w:r w:rsidRPr="00011304">
        <w:rPr>
          <w:rFonts w:asciiTheme="majorHAnsi" w:eastAsiaTheme="majorEastAsia" w:hAnsiTheme="majorHAnsi" w:cstheme="majorBidi"/>
        </w:rPr>
        <w:t>The</w:t>
      </w:r>
      <w:r w:rsidR="00056E38">
        <w:rPr>
          <w:rFonts w:asciiTheme="majorHAnsi" w:eastAsiaTheme="majorEastAsia" w:hAnsiTheme="majorHAnsi" w:cstheme="majorBidi"/>
        </w:rPr>
        <w:t xml:space="preserve"> data </w:t>
      </w:r>
      <w:r w:rsidRPr="00011304">
        <w:rPr>
          <w:rFonts w:asciiTheme="majorHAnsi" w:eastAsiaTheme="majorEastAsia" w:hAnsiTheme="majorHAnsi" w:cstheme="majorBidi"/>
        </w:rPr>
        <w:t xml:space="preserve">also notes a year-on-year increase in smaller and more discretionary occasions, particularly drink-only and breakfast outings, reflecting an expanding interest in flexible, informal outings. Lumina Intelligence advises suppliers to support operators in broadening their offerings across varied </w:t>
      </w:r>
      <w:proofErr w:type="gramStart"/>
      <w:r w:rsidRPr="00011304">
        <w:rPr>
          <w:rFonts w:asciiTheme="majorHAnsi" w:eastAsiaTheme="majorEastAsia" w:hAnsiTheme="majorHAnsi" w:cstheme="majorBidi"/>
        </w:rPr>
        <w:t>day-parts</w:t>
      </w:r>
      <w:proofErr w:type="gramEnd"/>
      <w:r w:rsidRPr="00011304">
        <w:rPr>
          <w:rFonts w:asciiTheme="majorHAnsi" w:eastAsiaTheme="majorEastAsia" w:hAnsiTheme="majorHAnsi" w:cstheme="majorBidi"/>
        </w:rPr>
        <w:t xml:space="preserve"> to capture and sustain this renewed consumer interest.</w:t>
      </w:r>
    </w:p>
    <w:p w14:paraId="7E160FE8" w14:textId="77777777" w:rsidR="00056E38" w:rsidRDefault="00056E38" w:rsidP="009740ED">
      <w:pPr>
        <w:rPr>
          <w:rFonts w:asciiTheme="majorHAnsi" w:eastAsiaTheme="majorEastAsia" w:hAnsiTheme="majorHAnsi" w:cstheme="majorBidi"/>
        </w:rPr>
      </w:pPr>
    </w:p>
    <w:p w14:paraId="2DF40A0D" w14:textId="633EDFA1" w:rsidR="009740ED" w:rsidRPr="009740ED" w:rsidRDefault="009740ED" w:rsidP="009740ED">
      <w:pPr>
        <w:rPr>
          <w:rFonts w:asciiTheme="majorHAnsi" w:eastAsiaTheme="majorEastAsia" w:hAnsiTheme="majorHAnsi" w:cstheme="majorBidi"/>
        </w:rPr>
      </w:pPr>
      <w:r>
        <w:rPr>
          <w:rFonts w:asciiTheme="majorHAnsi" w:eastAsiaTheme="majorEastAsia" w:hAnsiTheme="majorHAnsi" w:cstheme="majorBidi"/>
        </w:rPr>
        <w:t>END</w:t>
      </w:r>
    </w:p>
    <w:p w14:paraId="3237CD82" w14:textId="26D5B273" w:rsidR="00B22954" w:rsidRDefault="00B22954" w:rsidP="00BE3B0B">
      <w:r>
        <w:t xml:space="preserve">--- </w:t>
      </w:r>
    </w:p>
    <w:p w14:paraId="2E691B67" w14:textId="7553FDAD" w:rsidR="00224205" w:rsidRPr="00224205" w:rsidRDefault="00224205" w:rsidP="00BE3B0B">
      <w:pPr>
        <w:rPr>
          <w:b/>
          <w:bCs/>
        </w:rPr>
      </w:pPr>
      <w:r w:rsidRPr="00224205">
        <w:rPr>
          <w:b/>
          <w:bCs/>
        </w:rPr>
        <w:t>About Lumina Intelligence Eating &amp; Drinking Out Panel</w:t>
      </w:r>
    </w:p>
    <w:p w14:paraId="1DAF37DB" w14:textId="6500CA68" w:rsidR="007809E2" w:rsidRDefault="00056E38" w:rsidP="00BE3B0B">
      <w:hyperlink r:id="rId10" w:history="1">
        <w:r w:rsidR="007809E2" w:rsidRPr="004C05A9">
          <w:rPr>
            <w:rStyle w:val="Hyperlink"/>
          </w:rPr>
          <w:t xml:space="preserve">Lumina Intelligence Eating &amp; Drinking Out </w:t>
        </w:r>
        <w:r w:rsidR="00141CF3" w:rsidRPr="004C05A9">
          <w:rPr>
            <w:rStyle w:val="Hyperlink"/>
          </w:rPr>
          <w:t>P</w:t>
        </w:r>
        <w:r w:rsidR="007809E2" w:rsidRPr="004C05A9">
          <w:rPr>
            <w:rStyle w:val="Hyperlink"/>
          </w:rPr>
          <w:t>anel</w:t>
        </w:r>
      </w:hyperlink>
      <w:r w:rsidR="007809E2" w:rsidRPr="007809E2">
        <w:t xml:space="preserve"> is based on 78,000 surveys across the year, built up from a nationally representative weekly sample of 1,500 shoppers. Our comprehensive coverage includes over 900 operators from across all out of home channels – including restaurants, pubs </w:t>
      </w:r>
      <w:r w:rsidR="00141CF3">
        <w:t>&amp;</w:t>
      </w:r>
      <w:r w:rsidR="007809E2" w:rsidRPr="007809E2">
        <w:t xml:space="preserve"> bars, cafes </w:t>
      </w:r>
      <w:r w:rsidR="00141CF3">
        <w:t>&amp;</w:t>
      </w:r>
      <w:r w:rsidR="007809E2" w:rsidRPr="007809E2">
        <w:t xml:space="preserve"> coffee shops, fast food, baker</w:t>
      </w:r>
      <w:r w:rsidR="00141CF3">
        <w:t>y</w:t>
      </w:r>
      <w:r w:rsidR="007809E2" w:rsidRPr="007809E2">
        <w:t xml:space="preserve"> &amp; sandwich</w:t>
      </w:r>
      <w:r w:rsidR="00141CF3">
        <w:t xml:space="preserve"> shops</w:t>
      </w:r>
      <w:r w:rsidR="007809E2" w:rsidRPr="007809E2">
        <w:t xml:space="preserve">, </w:t>
      </w:r>
      <w:proofErr w:type="gramStart"/>
      <w:r w:rsidR="007809E2" w:rsidRPr="007809E2">
        <w:t>restaurants</w:t>
      </w:r>
      <w:proofErr w:type="gramEnd"/>
      <w:r w:rsidR="007809E2" w:rsidRPr="007809E2">
        <w:t xml:space="preserve"> and retail channels. </w:t>
      </w:r>
    </w:p>
    <w:p w14:paraId="0B02531F" w14:textId="77777777" w:rsidR="004C05A9" w:rsidRDefault="00224205" w:rsidP="004C05A9">
      <w:r>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hyperlink r:id="rId11" w:history="1">
        <w:r w:rsidR="004C05A9" w:rsidRPr="00FD711C">
          <w:rPr>
            <w:rStyle w:val="Hyperlink"/>
          </w:rPr>
          <w:t>https://www.lumina-intelligence.com/product/eating-and-drinking-out-panel/</w:t>
        </w:r>
      </w:hyperlink>
    </w:p>
    <w:p w14:paraId="0DCC62EC" w14:textId="733B91B8" w:rsidR="00224205" w:rsidRDefault="00224205" w:rsidP="00BE3B0B"/>
    <w:p w14:paraId="2DD0E8DA" w14:textId="77777777" w:rsidR="00224205" w:rsidRDefault="00224205" w:rsidP="00BE3B0B"/>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570E2D21" w:rsidR="00E86F6E" w:rsidRPr="00F34ADD" w:rsidRDefault="00056E38" w:rsidP="00E86F6E">
      <w:pPr>
        <w:rPr>
          <w:rFonts w:cstheme="minorHAnsi"/>
        </w:rPr>
      </w:pPr>
      <w:hyperlink r:id="rId12" w:history="1">
        <w:r w:rsidR="00E86F6E" w:rsidRPr="004C05A9">
          <w:rPr>
            <w:rStyle w:val="Hyperlink"/>
            <w:rFonts w:cstheme="minorHAnsi"/>
          </w:rPr>
          <w:t>Lumina Intelligence</w:t>
        </w:r>
      </w:hyperlink>
      <w:r w:rsidR="00E86F6E" w:rsidRPr="00F34ADD">
        <w:rPr>
          <w:rFonts w:cstheme="minorHAnsi"/>
        </w:rPr>
        <w:t xml:space="preserv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00E86F6E" w:rsidRPr="00F34ADD">
        <w:rPr>
          <w:rFonts w:cstheme="minorHAnsi"/>
        </w:rPr>
        <w:t>marketing</w:t>
      </w:r>
      <w:proofErr w:type="gramEnd"/>
      <w:r w:rsidR="00E86F6E" w:rsidRPr="00F34ADD">
        <w:rPr>
          <w:rFonts w:cstheme="minorHAnsi"/>
        </w:rPr>
        <w:t xml:space="preserve">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056E38" w:rsidP="00E86F6E">
      <w:hyperlink r:id="rId13"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11304"/>
    <w:rsid w:val="000224F8"/>
    <w:rsid w:val="0005697A"/>
    <w:rsid w:val="00056E38"/>
    <w:rsid w:val="00141CF3"/>
    <w:rsid w:val="001A4CBF"/>
    <w:rsid w:val="001E269C"/>
    <w:rsid w:val="00224205"/>
    <w:rsid w:val="003B5C03"/>
    <w:rsid w:val="004332B9"/>
    <w:rsid w:val="004C05A9"/>
    <w:rsid w:val="0050110C"/>
    <w:rsid w:val="00520DDC"/>
    <w:rsid w:val="005503B0"/>
    <w:rsid w:val="00584D75"/>
    <w:rsid w:val="005F3169"/>
    <w:rsid w:val="006302EF"/>
    <w:rsid w:val="00645C76"/>
    <w:rsid w:val="0069146D"/>
    <w:rsid w:val="006B68D3"/>
    <w:rsid w:val="006D2B2B"/>
    <w:rsid w:val="007033DF"/>
    <w:rsid w:val="007462A8"/>
    <w:rsid w:val="007809E2"/>
    <w:rsid w:val="007B24B8"/>
    <w:rsid w:val="007C11AE"/>
    <w:rsid w:val="007C29CE"/>
    <w:rsid w:val="007F3DEF"/>
    <w:rsid w:val="00844A02"/>
    <w:rsid w:val="00873A6C"/>
    <w:rsid w:val="00896C04"/>
    <w:rsid w:val="008C2102"/>
    <w:rsid w:val="00942B78"/>
    <w:rsid w:val="00970A3C"/>
    <w:rsid w:val="009724BC"/>
    <w:rsid w:val="009740ED"/>
    <w:rsid w:val="0098585D"/>
    <w:rsid w:val="00A0427B"/>
    <w:rsid w:val="00A503FD"/>
    <w:rsid w:val="00B22954"/>
    <w:rsid w:val="00BE3B0B"/>
    <w:rsid w:val="00C22C33"/>
    <w:rsid w:val="00C318FA"/>
    <w:rsid w:val="00C370E6"/>
    <w:rsid w:val="00C7385B"/>
    <w:rsid w:val="00C807D3"/>
    <w:rsid w:val="00CF388F"/>
    <w:rsid w:val="00D21343"/>
    <w:rsid w:val="00D259BD"/>
    <w:rsid w:val="00DB5B70"/>
    <w:rsid w:val="00E069E8"/>
    <w:rsid w:val="00E465FF"/>
    <w:rsid w:val="00E67F87"/>
    <w:rsid w:val="00E86F6E"/>
    <w:rsid w:val="00EE25EC"/>
    <w:rsid w:val="00EF0656"/>
    <w:rsid w:val="00F24DEE"/>
    <w:rsid w:val="00F356D1"/>
    <w:rsid w:val="00F558FA"/>
    <w:rsid w:val="00FB5168"/>
    <w:rsid w:val="00FD1849"/>
    <w:rsid w:val="00FF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5499">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1014498701">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 w:id="17201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icocastrillo@lumina-intelligence.co.uk" TargetMode="External"/><Relationship Id="rId13" Type="http://schemas.openxmlformats.org/officeDocument/2006/relationships/hyperlink" Target="https://www.lumina-intelligence.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lumina-intellig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umina-intelligence.com/product/eating-and-drinking-out-pane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umina-intelligence.com/product/eating-and-drinking-out-panel/" TargetMode="External"/><Relationship Id="rId4" Type="http://schemas.openxmlformats.org/officeDocument/2006/relationships/styles" Target="styles.xml"/><Relationship Id="rId9" Type="http://schemas.openxmlformats.org/officeDocument/2006/relationships/hyperlink" Target="https://www.lumina-intelligence.com/product/eating-and-drinking-out-pan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Props1.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5D18D-638B-4C1C-8568-B27DCF730C50}">
  <ds:schemaRefs>
    <ds:schemaRef ds:uri="http://schemas.microsoft.com/sharepoint/v3/contenttype/forms"/>
  </ds:schemaRefs>
</ds:datastoreItem>
</file>

<file path=customXml/itemProps3.xml><?xml version="1.0" encoding="utf-8"?>
<ds:datastoreItem xmlns:ds="http://schemas.openxmlformats.org/officeDocument/2006/customXml" ds:itemID="{22FC6D14-E609-44F0-9ED7-AE9BE556A208}">
  <ds:schemaRefs>
    <ds:schemaRef ds:uri="http://schemas.microsoft.com/office/2006/metadata/properties"/>
    <ds:schemaRef ds:uri="http://schemas.microsoft.com/office/infopath/2007/PartnerControls"/>
    <ds:schemaRef ds:uri="78337373-c547-43d0-875c-96a7ce2ad59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2</cp:revision>
  <dcterms:created xsi:type="dcterms:W3CDTF">2024-11-12T15:09:00Z</dcterms:created>
  <dcterms:modified xsi:type="dcterms:W3CDTF">2024-11-12T15:09:00Z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