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C8C3"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7E5DE21F" wp14:editId="72B8A95B">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56B4B3C9"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6D6202C7"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0F2A9DD8" w14:textId="70F62A87" w:rsidR="00C52592" w:rsidRDefault="00C52592" w:rsidP="001B10D8">
      <w:pPr>
        <w:spacing w:after="0" w:line="240" w:lineRule="auto"/>
        <w:rPr>
          <w:rFonts w:asciiTheme="majorHAnsi" w:hAnsiTheme="majorHAnsi" w:cstheme="majorHAnsi"/>
          <w:b/>
          <w:bCs/>
          <w:sz w:val="20"/>
          <w:szCs w:val="20"/>
        </w:rPr>
      </w:pPr>
      <w:r w:rsidRPr="00C52592">
        <w:rPr>
          <w:rFonts w:asciiTheme="majorHAnsi" w:hAnsiTheme="majorHAnsi" w:cstheme="majorHAnsi"/>
          <w:b/>
          <w:bCs/>
          <w:sz w:val="20"/>
          <w:szCs w:val="20"/>
        </w:rPr>
        <w:t>+442076110427</w:t>
      </w:r>
    </w:p>
    <w:p w14:paraId="0F89FE6C" w14:textId="7E75FAFC" w:rsidR="001B10D8" w:rsidRPr="001B2381" w:rsidRDefault="00241BE9" w:rsidP="001B10D8">
      <w:pPr>
        <w:spacing w:after="0" w:line="240" w:lineRule="auto"/>
        <w:rPr>
          <w:rFonts w:asciiTheme="majorHAnsi" w:hAnsiTheme="majorHAnsi" w:cstheme="majorHAnsi"/>
          <w:sz w:val="20"/>
          <w:szCs w:val="20"/>
          <w:u w:val="single"/>
        </w:rPr>
      </w:pPr>
      <w:hyperlink r:id="rId6" w:history="1">
        <w:r w:rsidR="001B10D8" w:rsidRPr="001B2381">
          <w:rPr>
            <w:rFonts w:asciiTheme="majorHAnsi" w:hAnsiTheme="majorHAnsi" w:cstheme="majorHAnsi"/>
            <w:b/>
            <w:bCs/>
            <w:sz w:val="20"/>
            <w:szCs w:val="20"/>
            <w:u w:val="single"/>
          </w:rPr>
          <w:t>monica.ricocastrillo@lumina-intelligence.co.uk</w:t>
        </w:r>
      </w:hyperlink>
    </w:p>
    <w:p w14:paraId="3BF232AD" w14:textId="77777777" w:rsidR="001B10D8" w:rsidRPr="001B2381" w:rsidRDefault="001B10D8" w:rsidP="001B10D8">
      <w:pPr>
        <w:spacing w:after="0" w:line="240" w:lineRule="auto"/>
        <w:rPr>
          <w:rFonts w:asciiTheme="majorHAnsi" w:hAnsiTheme="majorHAnsi" w:cstheme="majorHAnsi"/>
          <w:sz w:val="20"/>
          <w:szCs w:val="20"/>
          <w:u w:val="single"/>
        </w:rPr>
      </w:pPr>
    </w:p>
    <w:p w14:paraId="558EEE96" w14:textId="29E7CA21" w:rsidR="001B10D8" w:rsidRPr="001B2381" w:rsidRDefault="00C52592" w:rsidP="001B10D8">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10</w:t>
      </w:r>
      <w:r w:rsidR="001B10D8" w:rsidRPr="001B2381">
        <w:rPr>
          <w:rFonts w:asciiTheme="majorHAnsi" w:hAnsiTheme="majorHAnsi" w:cstheme="majorHAnsi"/>
          <w:b/>
          <w:bCs/>
          <w:sz w:val="20"/>
          <w:szCs w:val="20"/>
          <w:u w:val="single"/>
          <w:vertAlign w:val="superscript"/>
        </w:rPr>
        <w:t>th</w:t>
      </w:r>
      <w:r w:rsidR="001B10D8" w:rsidRPr="001B2381">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September</w:t>
      </w:r>
      <w:r w:rsidR="001B10D8" w:rsidRPr="001B2381">
        <w:rPr>
          <w:rFonts w:asciiTheme="majorHAnsi" w:hAnsiTheme="majorHAnsi" w:cstheme="majorHAnsi"/>
          <w:b/>
          <w:bCs/>
          <w:sz w:val="20"/>
          <w:szCs w:val="20"/>
          <w:u w:val="single"/>
        </w:rPr>
        <w:t xml:space="preserve"> 202</w:t>
      </w:r>
      <w:r w:rsidR="00080EF1">
        <w:rPr>
          <w:rFonts w:asciiTheme="majorHAnsi" w:hAnsiTheme="majorHAnsi" w:cstheme="majorHAnsi"/>
          <w:b/>
          <w:bCs/>
          <w:sz w:val="20"/>
          <w:szCs w:val="20"/>
          <w:u w:val="single"/>
        </w:rPr>
        <w:t>4</w:t>
      </w:r>
    </w:p>
    <w:p w14:paraId="6763E53A" w14:textId="77777777" w:rsidR="001B10D8" w:rsidRPr="001B2381" w:rsidRDefault="001B10D8" w:rsidP="001B10D8">
      <w:pPr>
        <w:pStyle w:val="Default"/>
        <w:rPr>
          <w:color w:val="auto"/>
          <w:sz w:val="20"/>
          <w:szCs w:val="20"/>
        </w:rPr>
      </w:pPr>
    </w:p>
    <w:p w14:paraId="65DA6CA5" w14:textId="77777777" w:rsidR="00C52592" w:rsidRDefault="00C52592" w:rsidP="00C52592">
      <w:pPr>
        <w:rPr>
          <w:b/>
          <w:bCs/>
          <w:sz w:val="24"/>
          <w:szCs w:val="24"/>
        </w:rPr>
      </w:pPr>
    </w:p>
    <w:p w14:paraId="7CE8A4FC" w14:textId="3EE4AD55" w:rsidR="00C52592" w:rsidRPr="00C52592" w:rsidRDefault="00C52592" w:rsidP="00C52592">
      <w:pPr>
        <w:rPr>
          <w:b/>
          <w:bCs/>
          <w:sz w:val="24"/>
          <w:szCs w:val="24"/>
        </w:rPr>
      </w:pPr>
      <w:r w:rsidRPr="00C52592">
        <w:rPr>
          <w:b/>
          <w:bCs/>
          <w:sz w:val="24"/>
          <w:szCs w:val="24"/>
        </w:rPr>
        <w:t>UK Eating Out Market to Benefit from Falling Inflation and Stabilising Economy, says Lumina Intelligence’s Operator Data Index</w:t>
      </w:r>
    </w:p>
    <w:p w14:paraId="040E6251" w14:textId="77777777" w:rsidR="00C52592" w:rsidRPr="00C52592" w:rsidRDefault="00C52592" w:rsidP="00C52592">
      <w:pPr>
        <w:rPr>
          <w:b/>
          <w:bCs/>
          <w:sz w:val="24"/>
          <w:szCs w:val="24"/>
        </w:rPr>
      </w:pPr>
    </w:p>
    <w:p w14:paraId="10E88536" w14:textId="2ECA6CB0" w:rsidR="00C52592" w:rsidRPr="00C52592" w:rsidRDefault="00C52592" w:rsidP="00C52592">
      <w:pPr>
        <w:rPr>
          <w:sz w:val="20"/>
          <w:szCs w:val="20"/>
        </w:rPr>
      </w:pPr>
      <w:r w:rsidRPr="00C52592">
        <w:rPr>
          <w:sz w:val="20"/>
          <w:szCs w:val="20"/>
        </w:rPr>
        <w:t>The latest insights from Lumina Intelligence’s Operator Data Index reveal a promising outlook for the UK’s eating out market in 2024. Falling inflation is set to ease pressure on business margins and consumer wallets, with average earnings expected to outpace inflation for the first time in two years. A stabilising economy is poised to reinvigorate the sector, fostering greater demand for food and drink experiences outside the home following a period of constrained spending.</w:t>
      </w:r>
    </w:p>
    <w:p w14:paraId="33EED17A" w14:textId="257558C9" w:rsidR="00C52592" w:rsidRPr="00C52592" w:rsidRDefault="00C52592" w:rsidP="00C52592">
      <w:pPr>
        <w:rPr>
          <w:sz w:val="20"/>
          <w:szCs w:val="20"/>
        </w:rPr>
      </w:pPr>
      <w:r w:rsidRPr="00C52592">
        <w:rPr>
          <w:sz w:val="20"/>
          <w:szCs w:val="20"/>
        </w:rPr>
        <w:t>Consumer confidence has gradually returned to near pre-pandemic levels, settling at -13 in August. This rebound is driven by falling inflation, mortgage</w:t>
      </w:r>
      <w:r w:rsidR="00DE2E6A">
        <w:rPr>
          <w:sz w:val="20"/>
          <w:szCs w:val="20"/>
        </w:rPr>
        <w:t>-friendly interest</w:t>
      </w:r>
      <w:r w:rsidRPr="00C52592">
        <w:rPr>
          <w:sz w:val="20"/>
          <w:szCs w:val="20"/>
        </w:rPr>
        <w:t xml:space="preserve"> rate cuts, and increased political stability following the general election. Despite these positives, lingering uncertainty about the broader UK economy has caused consumer confidence to stagnate.</w:t>
      </w:r>
    </w:p>
    <w:p w14:paraId="19B36FC7" w14:textId="3EF7CF1B" w:rsidR="00C52592" w:rsidRPr="00C52592" w:rsidRDefault="00C52592" w:rsidP="00C52592">
      <w:pPr>
        <w:rPr>
          <w:sz w:val="20"/>
          <w:szCs w:val="20"/>
        </w:rPr>
      </w:pPr>
      <w:r w:rsidRPr="00C52592">
        <w:rPr>
          <w:sz w:val="20"/>
          <w:szCs w:val="20"/>
        </w:rPr>
        <w:t xml:space="preserve">The restaurant market is forecast to grow by +1.4% in 2024, though this remains slightly behind the total eating out market’s projected growth of +2.8%. Strategic restructuring among restaurants and cautious consumer spending are likely to temper further gains. In contrast, premium brands like </w:t>
      </w:r>
      <w:proofErr w:type="spellStart"/>
      <w:r w:rsidRPr="00C52592">
        <w:rPr>
          <w:sz w:val="20"/>
          <w:szCs w:val="20"/>
        </w:rPr>
        <w:t>Dishoom</w:t>
      </w:r>
      <w:proofErr w:type="spellEnd"/>
      <w:r w:rsidRPr="00C52592">
        <w:rPr>
          <w:sz w:val="20"/>
          <w:szCs w:val="20"/>
        </w:rPr>
        <w:t xml:space="preserve">, The Ivy, and Miller &amp; Carter continue to </w:t>
      </w:r>
      <w:commentRangeStart w:id="0"/>
      <w:r w:rsidRPr="00C52592">
        <w:rPr>
          <w:sz w:val="20"/>
          <w:szCs w:val="20"/>
        </w:rPr>
        <w:t>thrive</w:t>
      </w:r>
      <w:commentRangeEnd w:id="0"/>
      <w:r w:rsidR="0083438D">
        <w:rPr>
          <w:rStyle w:val="CommentReference"/>
        </w:rPr>
        <w:commentReference w:id="0"/>
      </w:r>
      <w:r w:rsidR="00DE2E6A">
        <w:rPr>
          <w:sz w:val="20"/>
          <w:szCs w:val="20"/>
        </w:rPr>
        <w:t xml:space="preserve"> </w:t>
      </w:r>
      <w:r w:rsidR="00DE2E6A" w:rsidRPr="00DE2E6A">
        <w:rPr>
          <w:sz w:val="20"/>
          <w:szCs w:val="20"/>
        </w:rPr>
        <w:t>due to their focus on high quality offerings</w:t>
      </w:r>
      <w:r w:rsidR="00DE2E6A">
        <w:rPr>
          <w:sz w:val="20"/>
          <w:szCs w:val="20"/>
        </w:rPr>
        <w:t xml:space="preserve">, </w:t>
      </w:r>
      <w:r w:rsidRPr="00C52592">
        <w:rPr>
          <w:sz w:val="20"/>
          <w:szCs w:val="20"/>
        </w:rPr>
        <w:t>with fast-growing brands such as Yard Sale, Rudy’s, and Slim Chickens capitalising on consumer preferences for specialised offerings and strong community engagement.</w:t>
      </w:r>
    </w:p>
    <w:p w14:paraId="420A4569" w14:textId="392248CA" w:rsidR="00C52592" w:rsidRPr="00C52592" w:rsidRDefault="00C52592" w:rsidP="00C52592">
      <w:pPr>
        <w:rPr>
          <w:sz w:val="20"/>
          <w:szCs w:val="20"/>
        </w:rPr>
      </w:pPr>
      <w:r w:rsidRPr="00C52592">
        <w:rPr>
          <w:sz w:val="20"/>
          <w:szCs w:val="20"/>
        </w:rPr>
        <w:t xml:space="preserve">In the branded contemporary fast-food market, </w:t>
      </w:r>
      <w:r w:rsidR="00B42B16">
        <w:rPr>
          <w:sz w:val="20"/>
          <w:szCs w:val="20"/>
        </w:rPr>
        <w:t xml:space="preserve">turnover </w:t>
      </w:r>
      <w:r w:rsidRPr="00C52592">
        <w:rPr>
          <w:sz w:val="20"/>
          <w:szCs w:val="20"/>
        </w:rPr>
        <w:t xml:space="preserve">growth of +14.9% is expected in 2024, fuelled by physical expansion from </w:t>
      </w:r>
      <w:r w:rsidR="00241BE9">
        <w:rPr>
          <w:sz w:val="20"/>
          <w:szCs w:val="20"/>
        </w:rPr>
        <w:t>brands</w:t>
      </w:r>
      <w:r w:rsidRPr="00C52592">
        <w:rPr>
          <w:sz w:val="20"/>
          <w:szCs w:val="20"/>
        </w:rPr>
        <w:t xml:space="preserve"> including Five Guys, </w:t>
      </w:r>
      <w:r w:rsidR="00241BE9">
        <w:rPr>
          <w:sz w:val="20"/>
          <w:szCs w:val="20"/>
        </w:rPr>
        <w:t>German Doner Kebab</w:t>
      </w:r>
      <w:r w:rsidRPr="00C52592">
        <w:rPr>
          <w:sz w:val="20"/>
          <w:szCs w:val="20"/>
        </w:rPr>
        <w:t>, and Popeyes. This surge is supported by the success of franchise models and increased presence in key travel hubs.</w:t>
      </w:r>
    </w:p>
    <w:p w14:paraId="1BB12EDC" w14:textId="2A4A0C27" w:rsidR="00C52592" w:rsidRPr="00C52592" w:rsidRDefault="00C52592" w:rsidP="00C52592">
      <w:pPr>
        <w:rPr>
          <w:sz w:val="20"/>
          <w:szCs w:val="20"/>
        </w:rPr>
      </w:pPr>
      <w:r w:rsidRPr="00C52592">
        <w:rPr>
          <w:sz w:val="20"/>
          <w:szCs w:val="20"/>
        </w:rPr>
        <w:t>The UK pub and bar sector is forecast to grow by +1.5% in value in 2024, benefiting from easing inflation and major sporting events. However, challenges remain, with a projected -0.9% decline in outlets due to</w:t>
      </w:r>
      <w:r w:rsidR="00241BE9">
        <w:rPr>
          <w:sz w:val="20"/>
          <w:szCs w:val="20"/>
        </w:rPr>
        <w:t xml:space="preserve"> strategic disposals of underperforming sites</w:t>
      </w:r>
      <w:r w:rsidRPr="00C52592">
        <w:rPr>
          <w:sz w:val="20"/>
          <w:szCs w:val="20"/>
        </w:rPr>
        <w:t xml:space="preserve"> and rising business costs. </w:t>
      </w:r>
      <w:r w:rsidR="00241BE9" w:rsidRPr="00241BE9">
        <w:rPr>
          <w:sz w:val="20"/>
          <w:szCs w:val="20"/>
        </w:rPr>
        <w:t>The top 10 operators are forecast to achieve +4.2% growth in 2024F driven by market leader The Lounges and the success of experiential concepts</w:t>
      </w:r>
      <w:r w:rsidRPr="00C52592">
        <w:rPr>
          <w:sz w:val="20"/>
          <w:szCs w:val="20"/>
        </w:rPr>
        <w:t xml:space="preserve"> are predicted to lead turnover growth in the coming year.</w:t>
      </w:r>
    </w:p>
    <w:p w14:paraId="775F7A92" w14:textId="77777777" w:rsidR="00C52592" w:rsidRPr="00C52592" w:rsidRDefault="00C52592" w:rsidP="00C52592">
      <w:pPr>
        <w:rPr>
          <w:sz w:val="20"/>
          <w:szCs w:val="20"/>
        </w:rPr>
      </w:pPr>
      <w:r w:rsidRPr="00C52592">
        <w:rPr>
          <w:sz w:val="20"/>
          <w:szCs w:val="20"/>
        </w:rPr>
        <w:t>In the coffee and sandwich sector, leading brands are set to achieve +2.8% outlet growth in 2024. Costa and Greggs continue to drive efficiency through tech integration and supply chain improvements, while brands such as Grind and WH Smith focus on expansion into travel spaces through format innovation and strategic partnerships.</w:t>
      </w:r>
    </w:p>
    <w:p w14:paraId="710AED16" w14:textId="142FB455" w:rsidR="00462EF0" w:rsidRPr="001B2381" w:rsidRDefault="00462EF0" w:rsidP="00462EF0">
      <w:pPr>
        <w:rPr>
          <w:b/>
          <w:bCs/>
          <w:sz w:val="20"/>
          <w:szCs w:val="20"/>
        </w:rPr>
      </w:pPr>
    </w:p>
    <w:p w14:paraId="0525D748" w14:textId="61C2929A" w:rsidR="001B10D8" w:rsidRPr="001B2381" w:rsidRDefault="001B10D8" w:rsidP="00462EF0">
      <w:pPr>
        <w:rPr>
          <w:b/>
          <w:bCs/>
          <w:sz w:val="20"/>
          <w:szCs w:val="20"/>
        </w:rPr>
      </w:pPr>
      <w:r w:rsidRPr="001B2381">
        <w:rPr>
          <w:b/>
          <w:bCs/>
          <w:sz w:val="20"/>
          <w:szCs w:val="20"/>
        </w:rPr>
        <w:t>ENDS</w:t>
      </w:r>
    </w:p>
    <w:p w14:paraId="007EFB29" w14:textId="227605E0" w:rsidR="001B10D8" w:rsidRPr="001B2381" w:rsidRDefault="001B10D8" w:rsidP="00462EF0">
      <w:pPr>
        <w:rPr>
          <w:b/>
          <w:bCs/>
          <w:sz w:val="20"/>
          <w:szCs w:val="20"/>
        </w:rPr>
      </w:pPr>
    </w:p>
    <w:p w14:paraId="24CC1BC6" w14:textId="792C29EA" w:rsidR="001B10D8" w:rsidRDefault="001B10D8" w:rsidP="001B10D8">
      <w:pPr>
        <w:rPr>
          <w:sz w:val="20"/>
          <w:szCs w:val="20"/>
        </w:rPr>
      </w:pPr>
      <w:r w:rsidRPr="001B2381">
        <w:rPr>
          <w:sz w:val="20"/>
          <w:szCs w:val="20"/>
        </w:rPr>
        <w:t>--</w:t>
      </w:r>
    </w:p>
    <w:p w14:paraId="2E50EEB8" w14:textId="77777777" w:rsidR="001B2381" w:rsidRPr="001B2381" w:rsidRDefault="001B2381" w:rsidP="001B10D8">
      <w:pPr>
        <w:rPr>
          <w:sz w:val="20"/>
          <w:szCs w:val="20"/>
        </w:rPr>
      </w:pPr>
    </w:p>
    <w:p w14:paraId="0885A873" w14:textId="77777777" w:rsidR="00241BE9" w:rsidRDefault="00241BE9" w:rsidP="001B10D8">
      <w:pPr>
        <w:rPr>
          <w:b/>
          <w:bCs/>
          <w:sz w:val="20"/>
          <w:szCs w:val="20"/>
        </w:rPr>
      </w:pPr>
    </w:p>
    <w:p w14:paraId="1A586215" w14:textId="77777777" w:rsidR="00241BE9" w:rsidRDefault="00241BE9" w:rsidP="001B10D8">
      <w:pPr>
        <w:rPr>
          <w:b/>
          <w:bCs/>
          <w:sz w:val="20"/>
          <w:szCs w:val="20"/>
        </w:rPr>
      </w:pPr>
    </w:p>
    <w:p w14:paraId="089A780D" w14:textId="0A9BE978" w:rsidR="001B10D8" w:rsidRPr="001B2381" w:rsidRDefault="001B10D8" w:rsidP="001B10D8">
      <w:pPr>
        <w:rPr>
          <w:b/>
          <w:bCs/>
          <w:sz w:val="20"/>
          <w:szCs w:val="20"/>
        </w:rPr>
      </w:pPr>
      <w:r w:rsidRPr="001B2381">
        <w:rPr>
          <w:b/>
          <w:bCs/>
          <w:sz w:val="20"/>
          <w:szCs w:val="20"/>
        </w:rPr>
        <w:lastRenderedPageBreak/>
        <w:t xml:space="preserve">The Operator Data Index: </w:t>
      </w:r>
    </w:p>
    <w:p w14:paraId="666B2BF4" w14:textId="3D4FBF9C" w:rsidR="001B10D8" w:rsidRPr="001B2381" w:rsidRDefault="001B10D8" w:rsidP="001B10D8">
      <w:pPr>
        <w:rPr>
          <w:sz w:val="20"/>
          <w:szCs w:val="20"/>
        </w:rPr>
      </w:pPr>
      <w:r w:rsidRPr="001B2381">
        <w:rPr>
          <w:sz w:val="20"/>
          <w:szCs w:val="20"/>
        </w:rPr>
        <w:t xml:space="preserve">Lumina Intelligence’s Operator Data Index </w:t>
      </w:r>
      <w:hyperlink r:id="rId11" w:history="1">
        <w:r w:rsidRPr="00080EF1">
          <w:rPr>
            <w:rStyle w:val="Hyperlink"/>
            <w:b/>
            <w:bCs/>
            <w:sz w:val="20"/>
            <w:szCs w:val="20"/>
          </w:rPr>
          <w:t>Operator Data Index</w:t>
        </w:r>
      </w:hyperlink>
      <w:r w:rsidRPr="001B2381">
        <w:rPr>
          <w:b/>
          <w:bCs/>
          <w:sz w:val="20"/>
          <w:szCs w:val="20"/>
        </w:rPr>
        <w:t xml:space="preserve"> </w:t>
      </w:r>
      <w:r w:rsidRPr="001B2381">
        <w:rPr>
          <w:sz w:val="20"/>
          <w:szCs w:val="20"/>
        </w:rPr>
        <w:t>provides</w:t>
      </w:r>
      <w:r w:rsidRPr="001B2381">
        <w:rPr>
          <w:b/>
          <w:bCs/>
          <w:sz w:val="20"/>
          <w:szCs w:val="20"/>
        </w:rPr>
        <w:t xml:space="preserve"> </w:t>
      </w:r>
      <w:r w:rsidRPr="001B2381">
        <w:rPr>
          <w:sz w:val="20"/>
          <w:szCs w:val="20"/>
        </w:rPr>
        <w:t>c</w:t>
      </w:r>
      <w:r w:rsidRPr="001B10D8">
        <w:rPr>
          <w:sz w:val="20"/>
          <w:szCs w:val="20"/>
        </w:rPr>
        <w:t>ontinuous turnover and outlet data on </w:t>
      </w:r>
      <w:r w:rsidRPr="001B10D8">
        <w:rPr>
          <w:b/>
          <w:bCs/>
          <w:sz w:val="20"/>
          <w:szCs w:val="20"/>
        </w:rPr>
        <w:t>400+ UK pub, restaurant, QSR, sandwich and coffee shop operators</w:t>
      </w:r>
      <w:r w:rsidRPr="001B2381">
        <w:rPr>
          <w:sz w:val="20"/>
          <w:szCs w:val="20"/>
        </w:rPr>
        <w:t>, a</w:t>
      </w:r>
      <w:r w:rsidRPr="001B10D8">
        <w:rPr>
          <w:sz w:val="20"/>
          <w:szCs w:val="20"/>
        </w:rPr>
        <w:t>nalys</w:t>
      </w:r>
      <w:r w:rsidRPr="001B2381">
        <w:rPr>
          <w:sz w:val="20"/>
          <w:szCs w:val="20"/>
        </w:rPr>
        <w:t>ing</w:t>
      </w:r>
      <w:r w:rsidRPr="001B10D8">
        <w:rPr>
          <w:sz w:val="20"/>
          <w:szCs w:val="20"/>
        </w:rPr>
        <w:t xml:space="preserve"> the leading and fastest growing brands through an interactive dashboard, </w:t>
      </w:r>
      <w:r w:rsidRPr="001B2381">
        <w:rPr>
          <w:sz w:val="20"/>
          <w:szCs w:val="20"/>
        </w:rPr>
        <w:t>bringing subscribers</w:t>
      </w:r>
      <w:r w:rsidRPr="001B10D8">
        <w:rPr>
          <w:sz w:val="20"/>
          <w:szCs w:val="20"/>
        </w:rPr>
        <w:t xml:space="preserve"> quarterly market intelligence reports.</w:t>
      </w:r>
    </w:p>
    <w:p w14:paraId="02EE531D" w14:textId="0BF730FE" w:rsidR="001B10D8" w:rsidRPr="001B2381" w:rsidRDefault="001B10D8" w:rsidP="001B10D8">
      <w:pPr>
        <w:rPr>
          <w:sz w:val="20"/>
          <w:szCs w:val="20"/>
        </w:rPr>
      </w:pPr>
    </w:p>
    <w:p w14:paraId="485A5CFD"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Report methodology</w:t>
      </w:r>
    </w:p>
    <w:p w14:paraId="4DAE2961"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2D76556A" w14:textId="77777777" w:rsidR="001B2381" w:rsidRPr="001B2381" w:rsidRDefault="001B2381" w:rsidP="001B2381">
      <w:pPr>
        <w:rPr>
          <w:rFonts w:ascii="Arial" w:hAnsi="Arial" w:cs="Arial"/>
          <w:sz w:val="20"/>
          <w:szCs w:val="20"/>
        </w:rPr>
      </w:pPr>
      <w:r w:rsidRPr="001B2381">
        <w:rPr>
          <w:rFonts w:ascii="Arial" w:hAnsi="Arial" w:cs="Arial"/>
          <w:sz w:val="20"/>
          <w:szCs w:val="20"/>
        </w:rPr>
        <w:t>Our Operator Data Index includes:</w:t>
      </w:r>
    </w:p>
    <w:p w14:paraId="2FB7A1EB"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Comprehensive data on leading UK hospitality operators</w:t>
      </w:r>
    </w:p>
    <w:p w14:paraId="32CB891E"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Access market rankings, sales and outlet counts and monthly analysis presentations.</w:t>
      </w:r>
    </w:p>
    <w:p w14:paraId="45580815" w14:textId="77777777" w:rsidR="001B2381" w:rsidRPr="001B2381" w:rsidRDefault="001B2381" w:rsidP="001B2381">
      <w:pPr>
        <w:rPr>
          <w:rFonts w:ascii="Arial" w:hAnsi="Arial" w:cs="Arial"/>
          <w:b/>
          <w:bCs/>
          <w:sz w:val="20"/>
          <w:szCs w:val="20"/>
        </w:rPr>
      </w:pPr>
    </w:p>
    <w:p w14:paraId="5D3AF2B5"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About Lumina Intelligence</w:t>
      </w:r>
    </w:p>
    <w:p w14:paraId="397DE4DE"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DCAC104" w14:textId="77777777" w:rsidR="001B2381" w:rsidRPr="001B2381" w:rsidRDefault="00241BE9" w:rsidP="001B2381">
      <w:pPr>
        <w:rPr>
          <w:rFonts w:ascii="Arial" w:hAnsi="Arial" w:cs="Arial"/>
          <w:sz w:val="20"/>
          <w:szCs w:val="20"/>
        </w:rPr>
      </w:pPr>
      <w:hyperlink r:id="rId12" w:history="1">
        <w:r w:rsidR="001B2381" w:rsidRPr="001B2381">
          <w:rPr>
            <w:rStyle w:val="Hyperlink"/>
            <w:rFonts w:ascii="Arial" w:hAnsi="Arial" w:cs="Arial"/>
            <w:sz w:val="20"/>
            <w:szCs w:val="20"/>
          </w:rPr>
          <w:t>https://www.lumina-intelligence.com/</w:t>
        </w:r>
      </w:hyperlink>
    </w:p>
    <w:p w14:paraId="1B592D21" w14:textId="77777777" w:rsidR="001B10D8" w:rsidRPr="001B2381" w:rsidRDefault="001B10D8" w:rsidP="001B10D8">
      <w:pPr>
        <w:rPr>
          <w:sz w:val="20"/>
          <w:szCs w:val="20"/>
        </w:rPr>
      </w:pPr>
    </w:p>
    <w:p w14:paraId="4C2DE03B" w14:textId="17001446" w:rsidR="001B10D8" w:rsidRPr="001B2381" w:rsidRDefault="001B10D8" w:rsidP="001B10D8">
      <w:pPr>
        <w:rPr>
          <w:sz w:val="20"/>
          <w:szCs w:val="20"/>
        </w:rPr>
      </w:pPr>
    </w:p>
    <w:p w14:paraId="791676ED" w14:textId="77777777" w:rsidR="001B10D8" w:rsidRPr="001B2381" w:rsidRDefault="001B10D8" w:rsidP="001B10D8">
      <w:pPr>
        <w:rPr>
          <w:sz w:val="20"/>
          <w:szCs w:val="20"/>
        </w:rPr>
      </w:pPr>
    </w:p>
    <w:p w14:paraId="1ACFF48D" w14:textId="2F290E8F" w:rsidR="001B10D8" w:rsidRPr="001B2381" w:rsidRDefault="001B10D8" w:rsidP="001B10D8">
      <w:pPr>
        <w:rPr>
          <w:sz w:val="20"/>
          <w:szCs w:val="20"/>
        </w:rPr>
      </w:pPr>
    </w:p>
    <w:p w14:paraId="762DC335" w14:textId="54A6C53C" w:rsidR="001B10D8" w:rsidRPr="001B2381" w:rsidRDefault="001B10D8" w:rsidP="001B10D8">
      <w:pPr>
        <w:rPr>
          <w:sz w:val="20"/>
          <w:szCs w:val="20"/>
        </w:rPr>
      </w:pPr>
    </w:p>
    <w:p w14:paraId="1CE967BD" w14:textId="77777777" w:rsidR="001B10D8" w:rsidRPr="001B10D8" w:rsidRDefault="001B10D8" w:rsidP="001B10D8">
      <w:pPr>
        <w:rPr>
          <w:b/>
          <w:bCs/>
          <w:sz w:val="20"/>
          <w:szCs w:val="20"/>
        </w:rPr>
      </w:pPr>
    </w:p>
    <w:p w14:paraId="09F8773A" w14:textId="388218C4" w:rsidR="001B10D8" w:rsidRPr="001B2381" w:rsidRDefault="001B10D8" w:rsidP="001B10D8">
      <w:pPr>
        <w:rPr>
          <w:sz w:val="20"/>
          <w:szCs w:val="20"/>
        </w:rPr>
      </w:pPr>
    </w:p>
    <w:p w14:paraId="7799E6F9" w14:textId="77777777" w:rsidR="001B10D8" w:rsidRPr="001B2381" w:rsidRDefault="001B10D8" w:rsidP="001B10D8">
      <w:pPr>
        <w:rPr>
          <w:sz w:val="20"/>
          <w:szCs w:val="20"/>
        </w:rPr>
      </w:pPr>
    </w:p>
    <w:p w14:paraId="3AFE2DA3" w14:textId="602CAAF7" w:rsidR="00D020E8" w:rsidRPr="00D020E8" w:rsidRDefault="00D020E8" w:rsidP="00D020E8">
      <w:pPr>
        <w:rPr>
          <w:sz w:val="20"/>
          <w:szCs w:val="20"/>
        </w:rPr>
      </w:pPr>
    </w:p>
    <w:p w14:paraId="6B2466F9" w14:textId="19910ED2" w:rsidR="00D020E8" w:rsidRPr="00D020E8" w:rsidRDefault="00D020E8" w:rsidP="00D020E8">
      <w:pPr>
        <w:rPr>
          <w:sz w:val="20"/>
          <w:szCs w:val="20"/>
        </w:rPr>
      </w:pPr>
    </w:p>
    <w:p w14:paraId="11B8EAEC" w14:textId="6E8F4DF3" w:rsidR="00D020E8" w:rsidRPr="001B2381" w:rsidRDefault="00D020E8" w:rsidP="00D020E8">
      <w:pPr>
        <w:rPr>
          <w:sz w:val="20"/>
          <w:szCs w:val="20"/>
        </w:rPr>
      </w:pPr>
    </w:p>
    <w:p w14:paraId="08169302" w14:textId="2171DB6B" w:rsidR="00D020E8" w:rsidRPr="001B2381" w:rsidRDefault="00D020E8" w:rsidP="00D020E8">
      <w:pPr>
        <w:rPr>
          <w:sz w:val="20"/>
          <w:szCs w:val="20"/>
        </w:rPr>
      </w:pPr>
    </w:p>
    <w:p w14:paraId="27FB4C19" w14:textId="77777777" w:rsidR="00D020E8" w:rsidRPr="001B2381" w:rsidRDefault="00D020E8" w:rsidP="00D020E8">
      <w:pPr>
        <w:rPr>
          <w:sz w:val="20"/>
          <w:szCs w:val="20"/>
        </w:rPr>
      </w:pPr>
    </w:p>
    <w:p w14:paraId="0E19870C" w14:textId="77777777" w:rsidR="00D020E8" w:rsidRPr="00D020E8" w:rsidRDefault="00D020E8" w:rsidP="00D020E8">
      <w:pPr>
        <w:rPr>
          <w:sz w:val="20"/>
          <w:szCs w:val="20"/>
        </w:rPr>
      </w:pPr>
    </w:p>
    <w:p w14:paraId="5AB2AB77" w14:textId="465A5703" w:rsidR="00D020E8" w:rsidRPr="001B2381" w:rsidRDefault="00D020E8" w:rsidP="00D020E8">
      <w:pPr>
        <w:rPr>
          <w:sz w:val="20"/>
          <w:szCs w:val="20"/>
        </w:rPr>
      </w:pPr>
    </w:p>
    <w:p w14:paraId="1850EED0" w14:textId="77777777" w:rsidR="00D020E8" w:rsidRPr="00D020E8" w:rsidRDefault="00D020E8" w:rsidP="00D020E8">
      <w:pPr>
        <w:rPr>
          <w:sz w:val="20"/>
          <w:szCs w:val="20"/>
        </w:rPr>
      </w:pPr>
    </w:p>
    <w:p w14:paraId="7AE44BAB" w14:textId="1368D364" w:rsidR="00D020E8" w:rsidRPr="001B2381" w:rsidRDefault="00D020E8">
      <w:pPr>
        <w:rPr>
          <w:sz w:val="20"/>
          <w:szCs w:val="20"/>
        </w:rPr>
      </w:pPr>
    </w:p>
    <w:sectPr w:rsidR="00D020E8" w:rsidRPr="001B23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gie Davis" w:date="2024-09-13T14:59:00Z" w:initials="MD">
    <w:p w14:paraId="2B70EE32" w14:textId="77777777" w:rsidR="0083438D" w:rsidRDefault="0083438D" w:rsidP="0083438D">
      <w:pPr>
        <w:pStyle w:val="CommentText"/>
      </w:pPr>
      <w:r>
        <w:rPr>
          <w:rStyle w:val="CommentReference"/>
        </w:rPr>
        <w:annotationRef/>
      </w:r>
      <w:r>
        <w:t>Think it should be noted that its due to their focus on high quality offerings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0EE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BF388B" w16cex:dateUtc="2024-09-13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0EE32" w16cid:durableId="69BF38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AD5"/>
    <w:multiLevelType w:val="hybridMultilevel"/>
    <w:tmpl w:val="C0946170"/>
    <w:lvl w:ilvl="0" w:tplc="3F32E042">
      <w:start w:val="3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6498"/>
    <w:multiLevelType w:val="hybridMultilevel"/>
    <w:tmpl w:val="36B405AC"/>
    <w:lvl w:ilvl="0" w:tplc="FCDABEA4">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1744">
    <w:abstractNumId w:val="1"/>
  </w:num>
  <w:num w:numId="2" w16cid:durableId="237133662">
    <w:abstractNumId w:val="2"/>
  </w:num>
  <w:num w:numId="3" w16cid:durableId="1553538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e Davis">
    <w15:presenceInfo w15:providerId="AD" w15:userId="S::Maggie.Davis@lumina-intelligence.com::c5e1d50a-e9a4-4c63-bcd7-093c59e35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8"/>
    <w:rsid w:val="00057592"/>
    <w:rsid w:val="00080EF1"/>
    <w:rsid w:val="000E1605"/>
    <w:rsid w:val="00112EFF"/>
    <w:rsid w:val="001B10D8"/>
    <w:rsid w:val="001B2381"/>
    <w:rsid w:val="00241BE9"/>
    <w:rsid w:val="00462EF0"/>
    <w:rsid w:val="006A34C3"/>
    <w:rsid w:val="0083438D"/>
    <w:rsid w:val="00884BCF"/>
    <w:rsid w:val="008E3157"/>
    <w:rsid w:val="00B42B16"/>
    <w:rsid w:val="00BA2F38"/>
    <w:rsid w:val="00C52592"/>
    <w:rsid w:val="00D020E8"/>
    <w:rsid w:val="00D038CF"/>
    <w:rsid w:val="00DE2E6A"/>
    <w:rsid w:val="00E465FF"/>
    <w:rsid w:val="00F40E58"/>
    <w:rsid w:val="00F8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C88"/>
  <w15:chartTrackingRefBased/>
  <w15:docId w15:val="{07C68B22-C442-4D9D-93BF-C2A2CEF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1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0D8"/>
    <w:pPr>
      <w:ind w:left="720"/>
      <w:contextualSpacing/>
    </w:pPr>
  </w:style>
  <w:style w:type="character" w:styleId="Hyperlink">
    <w:name w:val="Hyperlink"/>
    <w:basedOn w:val="DefaultParagraphFont"/>
    <w:uiPriority w:val="99"/>
    <w:unhideWhenUsed/>
    <w:rsid w:val="001B10D8"/>
    <w:rPr>
      <w:color w:val="0563C1" w:themeColor="hyperlink"/>
      <w:u w:val="single"/>
    </w:rPr>
  </w:style>
  <w:style w:type="character" w:styleId="UnresolvedMention">
    <w:name w:val="Unresolved Mention"/>
    <w:basedOn w:val="DefaultParagraphFont"/>
    <w:uiPriority w:val="99"/>
    <w:semiHidden/>
    <w:unhideWhenUsed/>
    <w:rsid w:val="001B10D8"/>
    <w:rPr>
      <w:color w:val="605E5C"/>
      <w:shd w:val="clear" w:color="auto" w:fill="E1DFDD"/>
    </w:rPr>
  </w:style>
  <w:style w:type="character" w:customStyle="1" w:styleId="Heading2Char">
    <w:name w:val="Heading 2 Char"/>
    <w:basedOn w:val="DefaultParagraphFont"/>
    <w:link w:val="Heading2"/>
    <w:uiPriority w:val="9"/>
    <w:semiHidden/>
    <w:rsid w:val="001B10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rsid w:val="00112EFF"/>
    <w:rPr>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979">
      <w:bodyDiv w:val="1"/>
      <w:marLeft w:val="0"/>
      <w:marRight w:val="0"/>
      <w:marTop w:val="0"/>
      <w:marBottom w:val="0"/>
      <w:divBdr>
        <w:top w:val="none" w:sz="0" w:space="0" w:color="auto"/>
        <w:left w:val="none" w:sz="0" w:space="0" w:color="auto"/>
        <w:bottom w:val="none" w:sz="0" w:space="0" w:color="auto"/>
        <w:right w:val="none" w:sz="0" w:space="0" w:color="auto"/>
      </w:divBdr>
      <w:divsChild>
        <w:div w:id="1370035695">
          <w:marLeft w:val="0"/>
          <w:marRight w:val="0"/>
          <w:marTop w:val="0"/>
          <w:marBottom w:val="264"/>
          <w:divBdr>
            <w:top w:val="none" w:sz="0" w:space="0" w:color="auto"/>
            <w:left w:val="none" w:sz="0" w:space="0" w:color="auto"/>
            <w:bottom w:val="none" w:sz="0" w:space="0" w:color="auto"/>
            <w:right w:val="none" w:sz="0" w:space="0" w:color="auto"/>
          </w:divBdr>
          <w:divsChild>
            <w:div w:id="1247108892">
              <w:marLeft w:val="0"/>
              <w:marRight w:val="0"/>
              <w:marTop w:val="0"/>
              <w:marBottom w:val="0"/>
              <w:divBdr>
                <w:top w:val="none" w:sz="0" w:space="0" w:color="auto"/>
                <w:left w:val="none" w:sz="0" w:space="0" w:color="auto"/>
                <w:bottom w:val="none" w:sz="0" w:space="0" w:color="auto"/>
                <w:right w:val="none" w:sz="0" w:space="0" w:color="auto"/>
              </w:divBdr>
            </w:div>
          </w:divsChild>
        </w:div>
        <w:div w:id="1162358751">
          <w:marLeft w:val="0"/>
          <w:marRight w:val="0"/>
          <w:marTop w:val="0"/>
          <w:marBottom w:val="264"/>
          <w:divBdr>
            <w:top w:val="none" w:sz="0" w:space="0" w:color="auto"/>
            <w:left w:val="none" w:sz="0" w:space="0" w:color="auto"/>
            <w:bottom w:val="none" w:sz="0" w:space="0" w:color="auto"/>
            <w:right w:val="none" w:sz="0" w:space="0" w:color="auto"/>
          </w:divBdr>
          <w:divsChild>
            <w:div w:id="2003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2261">
      <w:bodyDiv w:val="1"/>
      <w:marLeft w:val="0"/>
      <w:marRight w:val="0"/>
      <w:marTop w:val="0"/>
      <w:marBottom w:val="0"/>
      <w:divBdr>
        <w:top w:val="none" w:sz="0" w:space="0" w:color="auto"/>
        <w:left w:val="none" w:sz="0" w:space="0" w:color="auto"/>
        <w:bottom w:val="none" w:sz="0" w:space="0" w:color="auto"/>
        <w:right w:val="none" w:sz="0" w:space="0" w:color="auto"/>
      </w:divBdr>
    </w:div>
    <w:div w:id="1357151119">
      <w:bodyDiv w:val="1"/>
      <w:marLeft w:val="0"/>
      <w:marRight w:val="0"/>
      <w:marTop w:val="0"/>
      <w:marBottom w:val="0"/>
      <w:divBdr>
        <w:top w:val="none" w:sz="0" w:space="0" w:color="auto"/>
        <w:left w:val="none" w:sz="0" w:space="0" w:color="auto"/>
        <w:bottom w:val="none" w:sz="0" w:space="0" w:color="auto"/>
        <w:right w:val="none" w:sz="0" w:space="0" w:color="auto"/>
      </w:divBdr>
      <w:divsChild>
        <w:div w:id="297222865">
          <w:marLeft w:val="0"/>
          <w:marRight w:val="0"/>
          <w:marTop w:val="0"/>
          <w:marBottom w:val="264"/>
          <w:divBdr>
            <w:top w:val="none" w:sz="0" w:space="0" w:color="auto"/>
            <w:left w:val="none" w:sz="0" w:space="0" w:color="auto"/>
            <w:bottom w:val="none" w:sz="0" w:space="0" w:color="auto"/>
            <w:right w:val="none" w:sz="0" w:space="0" w:color="auto"/>
          </w:divBdr>
          <w:divsChild>
            <w:div w:id="158234569">
              <w:marLeft w:val="0"/>
              <w:marRight w:val="0"/>
              <w:marTop w:val="0"/>
              <w:marBottom w:val="0"/>
              <w:divBdr>
                <w:top w:val="none" w:sz="0" w:space="0" w:color="auto"/>
                <w:left w:val="none" w:sz="0" w:space="0" w:color="auto"/>
                <w:bottom w:val="none" w:sz="0" w:space="0" w:color="auto"/>
                <w:right w:val="none" w:sz="0" w:space="0" w:color="auto"/>
              </w:divBdr>
            </w:div>
          </w:divsChild>
        </w:div>
        <w:div w:id="1141773195">
          <w:marLeft w:val="0"/>
          <w:marRight w:val="0"/>
          <w:marTop w:val="0"/>
          <w:marBottom w:val="264"/>
          <w:divBdr>
            <w:top w:val="none" w:sz="0" w:space="0" w:color="auto"/>
            <w:left w:val="none" w:sz="0" w:space="0" w:color="auto"/>
            <w:bottom w:val="none" w:sz="0" w:space="0" w:color="auto"/>
            <w:right w:val="none" w:sz="0" w:space="0" w:color="auto"/>
          </w:divBdr>
          <w:divsChild>
            <w:div w:id="1886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hyperlink" Target="https://lumina-intelligence.com/product/operator-data-index/" TargetMode="External"/><Relationship Id="rId5" Type="http://schemas.openxmlformats.org/officeDocument/2006/relationships/image" Target="media/image1.png"/><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2024-09-17T08:07:00Z</dcterms:created>
  <dcterms:modified xsi:type="dcterms:W3CDTF">2024-09-17T08:07:00Z</dcterms:modified>
</cp:coreProperties>
</file>