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6E4416" w:rsidP="00E86F6E">
      <w:pPr>
        <w:spacing w:after="0" w:line="240" w:lineRule="auto"/>
        <w:rPr>
          <w:rStyle w:val="Hyperlink"/>
          <w:rFonts w:cstheme="majorHAnsi"/>
          <w:color w:val="505050"/>
          <w:sz w:val="20"/>
          <w:szCs w:val="20"/>
        </w:rPr>
      </w:pPr>
      <w:hyperlink r:id="rId8" w:history="1">
        <w:r w:rsidR="001A4CBF"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2D9A7D34" w:rsidR="00E86F6E" w:rsidRDefault="006E4416"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8</w:t>
      </w:r>
      <w:r w:rsidRPr="006E4416">
        <w:rPr>
          <w:rFonts w:asciiTheme="majorHAnsi" w:hAnsiTheme="majorHAnsi" w:cstheme="majorHAnsi"/>
          <w:b/>
          <w:bCs/>
          <w:sz w:val="20"/>
          <w:szCs w:val="20"/>
          <w:u w:val="single"/>
          <w:vertAlign w:val="superscript"/>
        </w:rPr>
        <w:t>th</w:t>
      </w:r>
      <w:r>
        <w:rPr>
          <w:rFonts w:asciiTheme="majorHAnsi" w:hAnsiTheme="majorHAnsi" w:cstheme="majorHAnsi"/>
          <w:b/>
          <w:bCs/>
          <w:sz w:val="20"/>
          <w:szCs w:val="20"/>
          <w:u w:val="single"/>
        </w:rPr>
        <w:t xml:space="preserve"> </w:t>
      </w:r>
      <w:proofErr w:type="gramStart"/>
      <w:r>
        <w:rPr>
          <w:rFonts w:asciiTheme="majorHAnsi" w:hAnsiTheme="majorHAnsi" w:cstheme="majorHAnsi"/>
          <w:b/>
          <w:bCs/>
          <w:sz w:val="20"/>
          <w:szCs w:val="20"/>
          <w:u w:val="single"/>
        </w:rPr>
        <w:t>August</w:t>
      </w:r>
      <w:r w:rsidR="005503B0">
        <w:rPr>
          <w:rFonts w:asciiTheme="majorHAnsi" w:hAnsiTheme="majorHAnsi" w:cstheme="majorHAnsi"/>
          <w:b/>
          <w:bCs/>
          <w:sz w:val="20"/>
          <w:szCs w:val="20"/>
          <w:u w:val="single"/>
        </w:rPr>
        <w:t xml:space="preserve"> </w:t>
      </w:r>
      <w:r w:rsidR="00E86F6E" w:rsidRPr="008B64C2">
        <w:rPr>
          <w:rFonts w:asciiTheme="majorHAnsi" w:hAnsiTheme="majorHAnsi" w:cstheme="majorHAnsi"/>
          <w:b/>
          <w:bCs/>
          <w:sz w:val="20"/>
          <w:szCs w:val="20"/>
          <w:u w:val="single"/>
        </w:rPr>
        <w:t xml:space="preserve"> 202</w:t>
      </w:r>
      <w:r w:rsidR="001A4CBF">
        <w:rPr>
          <w:rFonts w:asciiTheme="majorHAnsi" w:hAnsiTheme="majorHAnsi" w:cstheme="majorHAnsi"/>
          <w:b/>
          <w:bCs/>
          <w:sz w:val="20"/>
          <w:szCs w:val="20"/>
          <w:u w:val="single"/>
        </w:rPr>
        <w:t>4</w:t>
      </w:r>
      <w:proofErr w:type="gramEnd"/>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275681F1" w14:textId="2F701673" w:rsidR="00873FBC" w:rsidRDefault="00873FBC" w:rsidP="00873FBC">
      <w:pPr>
        <w:rPr>
          <w:rFonts w:asciiTheme="majorHAnsi" w:eastAsiaTheme="majorEastAsia" w:hAnsiTheme="majorHAnsi" w:cstheme="majorBidi"/>
          <w:b/>
          <w:bCs/>
          <w:sz w:val="32"/>
          <w:szCs w:val="32"/>
        </w:rPr>
      </w:pPr>
      <w:r w:rsidRPr="00873FBC">
        <w:rPr>
          <w:rFonts w:asciiTheme="majorHAnsi" w:eastAsiaTheme="majorEastAsia" w:hAnsiTheme="majorHAnsi" w:cstheme="majorBidi"/>
          <w:b/>
          <w:bCs/>
          <w:sz w:val="32"/>
          <w:szCs w:val="32"/>
        </w:rPr>
        <w:t>Budgetary Mindset Restricts Frequency of Eating Out Occasions</w:t>
      </w:r>
    </w:p>
    <w:p w14:paraId="55A6039D" w14:textId="77777777" w:rsidR="00873FBC" w:rsidRPr="00873FBC" w:rsidRDefault="00873FBC" w:rsidP="00873FBC">
      <w:pPr>
        <w:rPr>
          <w:rFonts w:asciiTheme="majorHAnsi" w:eastAsiaTheme="majorEastAsia" w:hAnsiTheme="majorHAnsi" w:cstheme="majorBidi"/>
          <w:b/>
          <w:bCs/>
          <w:sz w:val="32"/>
          <w:szCs w:val="32"/>
        </w:rPr>
      </w:pPr>
    </w:p>
    <w:p w14:paraId="3B06480F" w14:textId="07A684FE" w:rsidR="00873FBC" w:rsidRPr="00873FBC" w:rsidRDefault="00873FBC" w:rsidP="00873FBC">
      <w:pPr>
        <w:rPr>
          <w:rFonts w:asciiTheme="majorHAnsi" w:eastAsiaTheme="majorEastAsia" w:hAnsiTheme="majorHAnsi" w:cstheme="majorBidi"/>
        </w:rPr>
      </w:pPr>
      <w:r>
        <w:rPr>
          <w:rFonts w:asciiTheme="majorHAnsi" w:eastAsiaTheme="majorEastAsia" w:hAnsiTheme="majorHAnsi" w:cstheme="majorBidi"/>
        </w:rPr>
        <w:t xml:space="preserve">Latest data from </w:t>
      </w:r>
      <w:r w:rsidRPr="00873FBC">
        <w:rPr>
          <w:rFonts w:asciiTheme="majorHAnsi" w:eastAsiaTheme="majorEastAsia" w:hAnsiTheme="majorHAnsi" w:cstheme="majorBidi"/>
        </w:rPr>
        <w:t xml:space="preserve">Lumina Intelligence's </w:t>
      </w:r>
      <w:hyperlink r:id="rId9" w:history="1">
        <w:r w:rsidRPr="00873FBC">
          <w:rPr>
            <w:rStyle w:val="Hyperlink"/>
            <w:rFonts w:asciiTheme="majorHAnsi" w:eastAsiaTheme="majorEastAsia" w:hAnsiTheme="majorHAnsi" w:cstheme="majorBidi"/>
          </w:rPr>
          <w:t>Eating and Drinking Out Panel</w:t>
        </w:r>
      </w:hyperlink>
      <w:r w:rsidRPr="00873FBC">
        <w:rPr>
          <w:rFonts w:asciiTheme="majorHAnsi" w:eastAsiaTheme="majorEastAsia" w:hAnsiTheme="majorHAnsi" w:cstheme="majorBidi"/>
        </w:rPr>
        <w:t xml:space="preserve"> reveals significant trends and insights within the UK's eating out market. The data shows that while participation in eating out has increased slightly year-on-year, the frequency of these occasions remains restricted by a budgetary mindset among consumers.</w:t>
      </w:r>
    </w:p>
    <w:p w14:paraId="5FBF8CCC" w14:textId="2449EC00" w:rsidR="00873FBC" w:rsidRPr="00873FBC" w:rsidRDefault="00873FBC" w:rsidP="00873FBC">
      <w:pPr>
        <w:rPr>
          <w:rFonts w:asciiTheme="majorHAnsi" w:eastAsiaTheme="majorEastAsia" w:hAnsiTheme="majorHAnsi" w:cstheme="majorBidi"/>
        </w:rPr>
      </w:pPr>
      <w:r w:rsidRPr="00873FBC">
        <w:rPr>
          <w:rFonts w:asciiTheme="majorHAnsi" w:eastAsiaTheme="majorEastAsia" w:hAnsiTheme="majorHAnsi" w:cstheme="majorBidi"/>
        </w:rPr>
        <w:t xml:space="preserve">Participation in the eating out market has grown by +0.8 percentage points (ppts) year-on-year, now standing at 58.3%. This increase is attributed to </w:t>
      </w:r>
      <w:r w:rsidR="00416C50" w:rsidRPr="00416C50">
        <w:rPr>
          <w:rFonts w:asciiTheme="majorHAnsi" w:eastAsiaTheme="majorEastAsia" w:hAnsiTheme="majorHAnsi" w:cstheme="majorBidi"/>
        </w:rPr>
        <w:t xml:space="preserve">inflation returning to more normal levels, giving consumers confidence to return to </w:t>
      </w:r>
      <w:r w:rsidR="00416C50">
        <w:rPr>
          <w:rFonts w:asciiTheme="majorHAnsi" w:eastAsiaTheme="majorEastAsia" w:hAnsiTheme="majorHAnsi" w:cstheme="majorBidi"/>
        </w:rPr>
        <w:t xml:space="preserve">their </w:t>
      </w:r>
      <w:r w:rsidR="00416C50" w:rsidRPr="00416C50">
        <w:rPr>
          <w:rFonts w:asciiTheme="majorHAnsi" w:eastAsiaTheme="majorEastAsia" w:hAnsiTheme="majorHAnsi" w:cstheme="majorBidi"/>
        </w:rPr>
        <w:t>routines</w:t>
      </w:r>
      <w:r w:rsidR="00416C50">
        <w:rPr>
          <w:rFonts w:asciiTheme="majorHAnsi" w:eastAsiaTheme="majorEastAsia" w:hAnsiTheme="majorHAnsi" w:cstheme="majorBidi"/>
        </w:rPr>
        <w:t xml:space="preserve">. </w:t>
      </w:r>
      <w:r w:rsidRPr="00873FBC">
        <w:rPr>
          <w:rFonts w:asciiTheme="majorHAnsi" w:eastAsiaTheme="majorEastAsia" w:hAnsiTheme="majorHAnsi" w:cstheme="majorBidi"/>
        </w:rPr>
        <w:t xml:space="preserve">Despite the rise in participation, consumers </w:t>
      </w:r>
      <w:r w:rsidR="00416C50">
        <w:rPr>
          <w:rFonts w:asciiTheme="majorHAnsi" w:eastAsiaTheme="majorEastAsia" w:hAnsiTheme="majorHAnsi" w:cstheme="majorBidi"/>
        </w:rPr>
        <w:t xml:space="preserve">are </w:t>
      </w:r>
      <w:r w:rsidR="00416C50" w:rsidRPr="00416C50">
        <w:rPr>
          <w:rFonts w:asciiTheme="majorHAnsi" w:eastAsiaTheme="majorEastAsia" w:hAnsiTheme="majorHAnsi" w:cstheme="majorBidi"/>
        </w:rPr>
        <w:t>still mindful of their finances</w:t>
      </w:r>
      <w:r w:rsidR="00416C50">
        <w:rPr>
          <w:rFonts w:asciiTheme="majorHAnsi" w:eastAsiaTheme="majorEastAsia" w:hAnsiTheme="majorHAnsi" w:cstheme="majorBidi"/>
        </w:rPr>
        <w:t>,</w:t>
      </w:r>
      <w:r w:rsidR="00416C50" w:rsidRPr="00416C50">
        <w:rPr>
          <w:rFonts w:asciiTheme="majorHAnsi" w:eastAsiaTheme="majorEastAsia" w:hAnsiTheme="majorHAnsi" w:cstheme="majorBidi"/>
        </w:rPr>
        <w:t xml:space="preserve"> which </w:t>
      </w:r>
      <w:r w:rsidR="00416C50">
        <w:rPr>
          <w:rFonts w:asciiTheme="majorHAnsi" w:eastAsiaTheme="majorEastAsia" w:hAnsiTheme="majorHAnsi" w:cstheme="majorBidi"/>
        </w:rPr>
        <w:t>has kept</w:t>
      </w:r>
      <w:r w:rsidR="00416C50" w:rsidRPr="00416C50">
        <w:rPr>
          <w:rFonts w:asciiTheme="majorHAnsi" w:eastAsiaTheme="majorEastAsia" w:hAnsiTheme="majorHAnsi" w:cstheme="majorBidi"/>
        </w:rPr>
        <w:t xml:space="preserve"> frequency restricted</w:t>
      </w:r>
      <w:r w:rsidRPr="00873FBC">
        <w:rPr>
          <w:rFonts w:asciiTheme="majorHAnsi" w:eastAsiaTheme="majorEastAsia" w:hAnsiTheme="majorHAnsi" w:cstheme="majorBidi"/>
        </w:rPr>
        <w:t>. Operators face a competitive environment, vying for the limited 1-2 weekly eating out occasions.</w:t>
      </w:r>
    </w:p>
    <w:p w14:paraId="77A5866E" w14:textId="2C21E63B" w:rsidR="00873FBC" w:rsidRPr="00873FBC" w:rsidRDefault="00873FBC" w:rsidP="00873FBC">
      <w:pPr>
        <w:rPr>
          <w:rFonts w:asciiTheme="majorHAnsi" w:eastAsiaTheme="majorEastAsia" w:hAnsiTheme="majorHAnsi" w:cstheme="majorBidi"/>
        </w:rPr>
      </w:pPr>
      <w:r w:rsidRPr="00873FBC">
        <w:rPr>
          <w:rFonts w:asciiTheme="majorHAnsi" w:eastAsiaTheme="majorEastAsia" w:hAnsiTheme="majorHAnsi" w:cstheme="majorBidi"/>
        </w:rPr>
        <w:t xml:space="preserve">Brunch and snack occasions have shown </w:t>
      </w:r>
      <w:r w:rsidR="00416C50">
        <w:rPr>
          <w:rFonts w:asciiTheme="majorHAnsi" w:eastAsiaTheme="majorEastAsia" w:hAnsiTheme="majorHAnsi" w:cstheme="majorBidi"/>
        </w:rPr>
        <w:t>the highest</w:t>
      </w:r>
      <w:r w:rsidRPr="00873FBC">
        <w:rPr>
          <w:rFonts w:asciiTheme="majorHAnsi" w:eastAsiaTheme="majorEastAsia" w:hAnsiTheme="majorHAnsi" w:cstheme="majorBidi"/>
        </w:rPr>
        <w:t xml:space="preserve"> growth, with increases of +1.2ppts and +1.1ppts respectively. </w:t>
      </w:r>
      <w:r w:rsidR="00416C50">
        <w:rPr>
          <w:rFonts w:asciiTheme="majorHAnsi" w:eastAsiaTheme="majorEastAsia" w:hAnsiTheme="majorHAnsi" w:cstheme="majorBidi"/>
        </w:rPr>
        <w:t>Snack occasions are</w:t>
      </w:r>
      <w:r w:rsidRPr="00873FBC">
        <w:rPr>
          <w:rFonts w:asciiTheme="majorHAnsi" w:eastAsiaTheme="majorEastAsia" w:hAnsiTheme="majorHAnsi" w:cstheme="majorBidi"/>
        </w:rPr>
        <w:t xml:space="preserve"> driven by an uptick in weekday necessity visits and an increase in commuting. </w:t>
      </w:r>
    </w:p>
    <w:p w14:paraId="718BBC3B" w14:textId="3113B063" w:rsidR="00873FBC" w:rsidRPr="00873FBC" w:rsidRDefault="00873FBC" w:rsidP="00873FBC">
      <w:pPr>
        <w:rPr>
          <w:rFonts w:asciiTheme="majorHAnsi" w:eastAsiaTheme="majorEastAsia" w:hAnsiTheme="majorHAnsi" w:cstheme="majorBidi"/>
        </w:rPr>
      </w:pPr>
      <w:r w:rsidRPr="00873FBC">
        <w:rPr>
          <w:rFonts w:asciiTheme="majorHAnsi" w:eastAsiaTheme="majorEastAsia" w:hAnsiTheme="majorHAnsi" w:cstheme="majorBidi"/>
        </w:rPr>
        <w:t>The UEFA European Championship (Euro) has led to a surge in quick service restaurant (QSR) visits (+1.6ppts) and delivery occasions (+1.2ppts). Operators have an opportunity to leverage seasonal and special events through targeted messaging and promotions to increase these occasions.</w:t>
      </w:r>
    </w:p>
    <w:p w14:paraId="18C10E6F" w14:textId="3B94BE9C" w:rsidR="00873FBC" w:rsidRDefault="00873FBC" w:rsidP="00873FBC">
      <w:pPr>
        <w:rPr>
          <w:rFonts w:asciiTheme="majorHAnsi" w:eastAsiaTheme="majorEastAsia" w:hAnsiTheme="majorHAnsi" w:cstheme="majorBidi"/>
        </w:rPr>
      </w:pPr>
      <w:r w:rsidRPr="00873FBC">
        <w:rPr>
          <w:rFonts w:asciiTheme="majorHAnsi" w:eastAsiaTheme="majorEastAsia" w:hAnsiTheme="majorHAnsi" w:cstheme="majorBidi"/>
        </w:rPr>
        <w:t xml:space="preserve">Operators in the eating out market must adapt to these evolving consumer behaviours. With the budgetary mindset limiting the frequency of dining out, creating compelling and competitive offerings for the 1-2 weekly occasions is crucial. The growth </w:t>
      </w:r>
      <w:r w:rsidR="00416C50">
        <w:rPr>
          <w:rFonts w:asciiTheme="majorHAnsi" w:eastAsiaTheme="majorEastAsia" w:hAnsiTheme="majorHAnsi" w:cstheme="majorBidi"/>
        </w:rPr>
        <w:t>in</w:t>
      </w:r>
      <w:r w:rsidRPr="00873FBC">
        <w:rPr>
          <w:rFonts w:asciiTheme="majorHAnsi" w:eastAsiaTheme="majorEastAsia" w:hAnsiTheme="majorHAnsi" w:cstheme="majorBidi"/>
        </w:rPr>
        <w:t xml:space="preserve"> snack occasions presents a valuable opportunity to attract the commuter segment</w:t>
      </w:r>
      <w:r w:rsidR="00416C50">
        <w:rPr>
          <w:rFonts w:asciiTheme="majorHAnsi" w:eastAsiaTheme="majorEastAsia" w:hAnsiTheme="majorHAnsi" w:cstheme="majorBidi"/>
        </w:rPr>
        <w:t>, and</w:t>
      </w:r>
      <w:r w:rsidRPr="00873FBC">
        <w:rPr>
          <w:rFonts w:asciiTheme="majorHAnsi" w:eastAsiaTheme="majorEastAsia" w:hAnsiTheme="majorHAnsi" w:cstheme="majorBidi"/>
        </w:rPr>
        <w:t xml:space="preserve"> capitalising on events like the Euro can drive significant upticks in QSR and delivery services.</w:t>
      </w:r>
    </w:p>
    <w:p w14:paraId="6271534B" w14:textId="77777777" w:rsidR="00873FBC" w:rsidRDefault="00873FBC" w:rsidP="00873FBC">
      <w:pPr>
        <w:rPr>
          <w:rFonts w:asciiTheme="majorHAnsi" w:eastAsiaTheme="majorEastAsia" w:hAnsiTheme="majorHAnsi" w:cstheme="majorBidi"/>
        </w:rPr>
      </w:pPr>
    </w:p>
    <w:p w14:paraId="6DF33D89" w14:textId="26FA112B" w:rsidR="00873FBC" w:rsidRPr="00873FBC" w:rsidRDefault="00873FBC" w:rsidP="00873FBC">
      <w:pPr>
        <w:rPr>
          <w:rFonts w:asciiTheme="majorHAnsi" w:eastAsiaTheme="majorEastAsia" w:hAnsiTheme="majorHAnsi" w:cstheme="majorBidi"/>
        </w:rPr>
      </w:pPr>
      <w:r>
        <w:rPr>
          <w:rFonts w:asciiTheme="majorHAnsi" w:eastAsiaTheme="majorEastAsia" w:hAnsiTheme="majorHAnsi" w:cstheme="majorBidi"/>
        </w:rPr>
        <w:t>ENDS</w:t>
      </w:r>
    </w:p>
    <w:p w14:paraId="41537A7C" w14:textId="77777777" w:rsidR="00873FBC" w:rsidRPr="00873FBC" w:rsidRDefault="00873FBC" w:rsidP="00873FBC">
      <w:pPr>
        <w:rPr>
          <w:rFonts w:asciiTheme="majorHAnsi" w:eastAsiaTheme="majorEastAsia" w:hAnsiTheme="majorHAnsi" w:cstheme="majorBidi"/>
        </w:rPr>
      </w:pPr>
    </w:p>
    <w:p w14:paraId="2E691B67" w14:textId="47C43DE8" w:rsidR="00224205" w:rsidRPr="00224205" w:rsidRDefault="00224205" w:rsidP="00BE3B0B">
      <w:pPr>
        <w:rPr>
          <w:b/>
          <w:bCs/>
        </w:rPr>
      </w:pPr>
      <w:r w:rsidRPr="00224205">
        <w:rPr>
          <w:b/>
          <w:bCs/>
        </w:rPr>
        <w:t>About Lumina Intelligence Eating &amp; Drinking Out Panel</w:t>
      </w:r>
    </w:p>
    <w:p w14:paraId="1DAF37DB" w14:textId="6500CA68" w:rsidR="007809E2" w:rsidRDefault="006E4416" w:rsidP="00BE3B0B">
      <w:hyperlink r:id="rId10" w:history="1">
        <w:r w:rsidR="007809E2" w:rsidRPr="004C05A9">
          <w:rPr>
            <w:rStyle w:val="Hyperlink"/>
          </w:rPr>
          <w:t xml:space="preserve">Lumina Intelligence Eating &amp; Drinking Out </w:t>
        </w:r>
        <w:r w:rsidR="00141CF3" w:rsidRPr="004C05A9">
          <w:rPr>
            <w:rStyle w:val="Hyperlink"/>
          </w:rPr>
          <w:t>P</w:t>
        </w:r>
        <w:r w:rsidR="007809E2" w:rsidRPr="004C05A9">
          <w:rPr>
            <w:rStyle w:val="Hyperlink"/>
          </w:rPr>
          <w:t>anel</w:t>
        </w:r>
      </w:hyperlink>
      <w:r w:rsidR="007809E2" w:rsidRPr="007809E2">
        <w:t xml:space="preserve"> is based on 78,000 surveys across the year, built up from a nationally representative weekly sample of 1,500 shoppers. Our comprehensive coverage includes over 900 operators from across all out of home channels – including restaurants, pubs </w:t>
      </w:r>
      <w:r w:rsidR="00141CF3">
        <w:t>&amp;</w:t>
      </w:r>
      <w:r w:rsidR="007809E2" w:rsidRPr="007809E2">
        <w:t xml:space="preserve"> bars, cafes </w:t>
      </w:r>
      <w:r w:rsidR="00141CF3">
        <w:t>&amp;</w:t>
      </w:r>
      <w:r w:rsidR="007809E2" w:rsidRPr="007809E2">
        <w:t xml:space="preserve"> coffee shops, fast food, baker</w:t>
      </w:r>
      <w:r w:rsidR="00141CF3">
        <w:t>y</w:t>
      </w:r>
      <w:r w:rsidR="007809E2" w:rsidRPr="007809E2">
        <w:t xml:space="preserve"> &amp; sandwich</w:t>
      </w:r>
      <w:r w:rsidR="00141CF3">
        <w:t xml:space="preserve"> shops</w:t>
      </w:r>
      <w:r w:rsidR="007809E2" w:rsidRPr="007809E2">
        <w:t xml:space="preserve">, </w:t>
      </w:r>
      <w:proofErr w:type="gramStart"/>
      <w:r w:rsidR="007809E2" w:rsidRPr="007809E2">
        <w:t>restaurants</w:t>
      </w:r>
      <w:proofErr w:type="gramEnd"/>
      <w:r w:rsidR="007809E2" w:rsidRPr="007809E2">
        <w:t xml:space="preserve"> and retail channels. </w:t>
      </w:r>
    </w:p>
    <w:p w14:paraId="0B02531F" w14:textId="77777777" w:rsidR="004C05A9" w:rsidRDefault="00224205" w:rsidP="004C05A9">
      <w:r>
        <w:lastRenderedPageBreak/>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hyperlink r:id="rId11" w:history="1">
        <w:r w:rsidR="004C05A9" w:rsidRPr="00FD711C">
          <w:rPr>
            <w:rStyle w:val="Hyperlink"/>
          </w:rPr>
          <w:t>https://www.lumina-intelligence.com/product/eating-and-drinking-out-panel/</w:t>
        </w:r>
      </w:hyperlink>
    </w:p>
    <w:p w14:paraId="0DCC62EC" w14:textId="733B91B8" w:rsidR="00224205" w:rsidRDefault="00224205" w:rsidP="00BE3B0B"/>
    <w:p w14:paraId="2DD0E8DA" w14:textId="77777777" w:rsidR="00224205" w:rsidRDefault="00224205" w:rsidP="00BE3B0B"/>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570E2D21" w:rsidR="00E86F6E" w:rsidRPr="00F34ADD" w:rsidRDefault="006E4416" w:rsidP="00E86F6E">
      <w:pPr>
        <w:rPr>
          <w:rFonts w:cstheme="minorHAnsi"/>
        </w:rPr>
      </w:pPr>
      <w:hyperlink r:id="rId12" w:history="1">
        <w:r w:rsidR="00E86F6E" w:rsidRPr="004C05A9">
          <w:rPr>
            <w:rStyle w:val="Hyperlink"/>
            <w:rFonts w:cstheme="minorHAnsi"/>
          </w:rPr>
          <w:t>Lumina Intelligence</w:t>
        </w:r>
      </w:hyperlink>
      <w:r w:rsidR="00E86F6E" w:rsidRPr="00F34ADD">
        <w:rPr>
          <w:rFonts w:cstheme="minorHAnsi"/>
        </w:rPr>
        <w:t xml:space="preserv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00E86F6E" w:rsidRPr="00F34ADD">
        <w:rPr>
          <w:rFonts w:cstheme="minorHAnsi"/>
        </w:rPr>
        <w:t>marketing</w:t>
      </w:r>
      <w:proofErr w:type="gramEnd"/>
      <w:r w:rsidR="00E86F6E" w:rsidRPr="00F34ADD">
        <w:rPr>
          <w:rFonts w:cstheme="minorHAnsi"/>
        </w:rPr>
        <w:t xml:space="preserve">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6E4416" w:rsidP="00E86F6E">
      <w:hyperlink r:id="rId13"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5697A"/>
    <w:rsid w:val="00141CF3"/>
    <w:rsid w:val="001A4CBF"/>
    <w:rsid w:val="001E269C"/>
    <w:rsid w:val="00224205"/>
    <w:rsid w:val="003B5C03"/>
    <w:rsid w:val="00416C50"/>
    <w:rsid w:val="004332B9"/>
    <w:rsid w:val="004C05A9"/>
    <w:rsid w:val="0050110C"/>
    <w:rsid w:val="00520DDC"/>
    <w:rsid w:val="005503B0"/>
    <w:rsid w:val="00584D75"/>
    <w:rsid w:val="005F3169"/>
    <w:rsid w:val="006302EF"/>
    <w:rsid w:val="00645C76"/>
    <w:rsid w:val="0069146D"/>
    <w:rsid w:val="006B68D3"/>
    <w:rsid w:val="006D2B2B"/>
    <w:rsid w:val="006E4416"/>
    <w:rsid w:val="007033DF"/>
    <w:rsid w:val="007462A8"/>
    <w:rsid w:val="007809E2"/>
    <w:rsid w:val="007C11AE"/>
    <w:rsid w:val="007C29CE"/>
    <w:rsid w:val="00844A02"/>
    <w:rsid w:val="00873A6C"/>
    <w:rsid w:val="00873FBC"/>
    <w:rsid w:val="00896C04"/>
    <w:rsid w:val="008C2102"/>
    <w:rsid w:val="00942B78"/>
    <w:rsid w:val="009724BC"/>
    <w:rsid w:val="009740ED"/>
    <w:rsid w:val="0098585D"/>
    <w:rsid w:val="00A0427B"/>
    <w:rsid w:val="00BE3B0B"/>
    <w:rsid w:val="00C22C33"/>
    <w:rsid w:val="00C318FA"/>
    <w:rsid w:val="00C370E6"/>
    <w:rsid w:val="00C7385B"/>
    <w:rsid w:val="00CF388F"/>
    <w:rsid w:val="00D21343"/>
    <w:rsid w:val="00D259BD"/>
    <w:rsid w:val="00DB5B70"/>
    <w:rsid w:val="00E069E8"/>
    <w:rsid w:val="00E465FF"/>
    <w:rsid w:val="00E86F6E"/>
    <w:rsid w:val="00EE25EC"/>
    <w:rsid w:val="00EF0656"/>
    <w:rsid w:val="00F24DEE"/>
    <w:rsid w:val="00F356D1"/>
    <w:rsid w:val="00F558FA"/>
    <w:rsid w:val="00FD1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5787">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1254129211">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 w:id="203430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icocastrillo@lumina-intelligence.co.uk" TargetMode="External"/><Relationship Id="rId13" Type="http://schemas.openxmlformats.org/officeDocument/2006/relationships/hyperlink" Target="https://www.lumina-intelligence.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lumina-intellig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umina-intelligence.com/product/eating-and-drinking-out-pane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umina-intelligence.com/product/eating-and-drinking-out-panel/" TargetMode="External"/><Relationship Id="rId4" Type="http://schemas.openxmlformats.org/officeDocument/2006/relationships/styles" Target="styles.xml"/><Relationship Id="rId9" Type="http://schemas.openxmlformats.org/officeDocument/2006/relationships/hyperlink" Target="https://www.lumina-intelligence.com/product/eating-and-drinking-out-pan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Props1.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5D18D-638B-4C1C-8568-B27DCF730C50}">
  <ds:schemaRefs>
    <ds:schemaRef ds:uri="http://schemas.microsoft.com/sharepoint/v3/contenttype/forms"/>
  </ds:schemaRefs>
</ds:datastoreItem>
</file>

<file path=customXml/itemProps3.xml><?xml version="1.0" encoding="utf-8"?>
<ds:datastoreItem xmlns:ds="http://schemas.openxmlformats.org/officeDocument/2006/customXml" ds:itemID="{22FC6D14-E609-44F0-9ED7-AE9BE556A208}">
  <ds:schemaRefs>
    <ds:schemaRef ds:uri="1fd7eceb-fc85-44ad-b2a4-3e682c8dcbfc"/>
    <ds:schemaRef ds:uri="http://purl.org/dc/dcmitype/"/>
    <ds:schemaRef ds:uri="78337373-c547-43d0-875c-96a7ce2ad59b"/>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4</cp:revision>
  <dcterms:created xsi:type="dcterms:W3CDTF">2024-08-01T15:28:00Z</dcterms:created>
  <dcterms:modified xsi:type="dcterms:W3CDTF">2024-08-15T15:22:00Z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