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726EF3"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05A4BB7A" w:rsidR="00E86F6E" w:rsidRDefault="009566F8"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19</w:t>
      </w:r>
      <w:r w:rsidRPr="009566F8">
        <w:rPr>
          <w:rFonts w:asciiTheme="majorHAnsi" w:hAnsiTheme="majorHAnsi" w:cstheme="majorHAnsi"/>
          <w:b/>
          <w:bCs/>
          <w:sz w:val="20"/>
          <w:szCs w:val="20"/>
          <w:u w:val="single"/>
          <w:vertAlign w:val="superscript"/>
        </w:rPr>
        <w:t>th</w:t>
      </w:r>
      <w:r>
        <w:rPr>
          <w:rFonts w:asciiTheme="majorHAnsi" w:hAnsiTheme="majorHAnsi" w:cstheme="majorHAnsi"/>
          <w:b/>
          <w:bCs/>
          <w:sz w:val="20"/>
          <w:szCs w:val="20"/>
          <w:u w:val="single"/>
        </w:rPr>
        <w:t xml:space="preserve"> June</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2502052C" w14:textId="39E6E010" w:rsidR="009E4F1E" w:rsidRDefault="009566F8" w:rsidP="009E4F1E">
      <w:pPr>
        <w:rPr>
          <w:rFonts w:asciiTheme="majorHAnsi" w:eastAsiaTheme="majorEastAsia" w:hAnsiTheme="majorHAnsi" w:cstheme="majorBidi"/>
          <w:b/>
          <w:bCs/>
          <w:sz w:val="32"/>
          <w:szCs w:val="32"/>
        </w:rPr>
      </w:pPr>
      <w:r w:rsidRPr="009566F8">
        <w:rPr>
          <w:rFonts w:asciiTheme="majorHAnsi" w:eastAsiaTheme="majorEastAsia" w:hAnsiTheme="majorHAnsi" w:cstheme="majorBidi"/>
          <w:b/>
          <w:bCs/>
          <w:sz w:val="32"/>
          <w:szCs w:val="32"/>
        </w:rPr>
        <w:t>Market Growth and Economic Resilience</w:t>
      </w:r>
      <w:r w:rsidR="00A53CD0" w:rsidRPr="00A53CD0">
        <w:rPr>
          <w:rFonts w:asciiTheme="majorHAnsi" w:eastAsiaTheme="majorEastAsia" w:hAnsiTheme="majorHAnsi" w:cstheme="majorBidi"/>
          <w:b/>
          <w:bCs/>
          <w:sz w:val="32"/>
          <w:szCs w:val="32"/>
        </w:rPr>
        <w:t xml:space="preserve">, Lumina Intelligence </w:t>
      </w:r>
      <w:r>
        <w:rPr>
          <w:rFonts w:asciiTheme="majorHAnsi" w:eastAsiaTheme="majorEastAsia" w:hAnsiTheme="majorHAnsi" w:cstheme="majorBidi"/>
          <w:b/>
          <w:bCs/>
          <w:sz w:val="32"/>
          <w:szCs w:val="32"/>
        </w:rPr>
        <w:t xml:space="preserve">Eating Out Report </w:t>
      </w:r>
      <w:r w:rsidR="00A53CD0" w:rsidRPr="00A53CD0">
        <w:rPr>
          <w:rFonts w:asciiTheme="majorHAnsi" w:eastAsiaTheme="majorEastAsia" w:hAnsiTheme="majorHAnsi" w:cstheme="majorBidi"/>
          <w:b/>
          <w:bCs/>
          <w:sz w:val="32"/>
          <w:szCs w:val="32"/>
        </w:rPr>
        <w:t>Reveals</w:t>
      </w:r>
    </w:p>
    <w:p w14:paraId="3C25A18C" w14:textId="77777777" w:rsidR="00726EF3" w:rsidRPr="00726EF3" w:rsidRDefault="00726EF3" w:rsidP="009E4F1E">
      <w:pPr>
        <w:rPr>
          <w:rFonts w:asciiTheme="majorHAnsi" w:eastAsiaTheme="majorEastAsia" w:hAnsiTheme="majorHAnsi" w:cstheme="majorBidi"/>
          <w:b/>
          <w:bCs/>
          <w:sz w:val="32"/>
          <w:szCs w:val="32"/>
        </w:rPr>
      </w:pPr>
    </w:p>
    <w:p w14:paraId="19D69B03" w14:textId="00676DFF" w:rsidR="009E4F1E" w:rsidRPr="009E4F1E" w:rsidRDefault="009E4F1E" w:rsidP="009E4F1E">
      <w:pPr>
        <w:rPr>
          <w:rFonts w:asciiTheme="majorHAnsi" w:eastAsiaTheme="majorEastAsia" w:hAnsiTheme="majorHAnsi" w:cstheme="majorBidi"/>
        </w:rPr>
      </w:pPr>
      <w:r w:rsidRPr="009E4F1E">
        <w:rPr>
          <w:rFonts w:asciiTheme="majorHAnsi" w:eastAsiaTheme="majorEastAsia" w:hAnsiTheme="majorHAnsi" w:cstheme="majorBidi"/>
        </w:rPr>
        <w:t xml:space="preserve">The UK eating out market is forecast to grow by +2.8% to £99.4 billion in 2024, surpassing its pre-pandemic value by +8.2%, according to the Lumina Intelligence </w:t>
      </w:r>
      <w:hyperlink r:id="rId9" w:history="1">
        <w:r w:rsidRPr="009E4F1E">
          <w:rPr>
            <w:rStyle w:val="Hyperlink"/>
            <w:rFonts w:asciiTheme="majorHAnsi" w:eastAsiaTheme="majorEastAsia" w:hAnsiTheme="majorHAnsi" w:cstheme="majorBidi"/>
          </w:rPr>
          <w:t>UK Eating Out Market Report 2024</w:t>
        </w:r>
      </w:hyperlink>
      <w:r w:rsidRPr="009E4F1E">
        <w:rPr>
          <w:rFonts w:asciiTheme="majorHAnsi" w:eastAsiaTheme="majorEastAsia" w:hAnsiTheme="majorHAnsi" w:cstheme="majorBidi"/>
        </w:rPr>
        <w:t>. This growth is expected to outpace inflation, driven by diverse formats such as travel hubs, drive-</w:t>
      </w:r>
      <w:proofErr w:type="spellStart"/>
      <w:r w:rsidRPr="009E4F1E">
        <w:rPr>
          <w:rFonts w:asciiTheme="majorHAnsi" w:eastAsiaTheme="majorEastAsia" w:hAnsiTheme="majorHAnsi" w:cstheme="majorBidi"/>
        </w:rPr>
        <w:t>thrus</w:t>
      </w:r>
      <w:proofErr w:type="spellEnd"/>
      <w:r w:rsidRPr="009E4F1E">
        <w:rPr>
          <w:rFonts w:asciiTheme="majorHAnsi" w:eastAsiaTheme="majorEastAsia" w:hAnsiTheme="majorHAnsi" w:cstheme="majorBidi"/>
        </w:rPr>
        <w:t>, and kiosks. Market penetration increased by +3.3 percentage points to 56.6% in May 2024, with low-ticket treats like drink-only occasions rising by +1.2 ppts.</w:t>
      </w:r>
    </w:p>
    <w:p w14:paraId="4098F791" w14:textId="71CF0733" w:rsidR="009E4F1E" w:rsidRPr="009E4F1E" w:rsidRDefault="009E4F1E" w:rsidP="009E4F1E">
      <w:pPr>
        <w:rPr>
          <w:rFonts w:asciiTheme="majorHAnsi" w:eastAsiaTheme="majorEastAsia" w:hAnsiTheme="majorHAnsi" w:cstheme="majorBidi"/>
        </w:rPr>
      </w:pPr>
      <w:r w:rsidRPr="009E4F1E">
        <w:rPr>
          <w:rFonts w:asciiTheme="majorHAnsi" w:eastAsiaTheme="majorEastAsia" w:hAnsiTheme="majorHAnsi" w:cstheme="majorBidi"/>
        </w:rPr>
        <w:t>Food to go-led channels, such as sandwich &amp; bakery outlets and coffee shops/cafés, have shown significant growth since 2019, projected to achieve value growth of +32% and +24% respectively by 2024. This is due to physical expansion, technology innovations, and new product development.</w:t>
      </w:r>
    </w:p>
    <w:p w14:paraId="05180F6B" w14:textId="2BBFA2A3" w:rsidR="009E4F1E" w:rsidRPr="009E4F1E" w:rsidRDefault="009E4F1E" w:rsidP="009E4F1E">
      <w:pPr>
        <w:rPr>
          <w:rFonts w:asciiTheme="majorHAnsi" w:eastAsiaTheme="majorEastAsia" w:hAnsiTheme="majorHAnsi" w:cstheme="majorBidi"/>
        </w:rPr>
      </w:pPr>
      <w:r w:rsidRPr="009E4F1E">
        <w:rPr>
          <w:rFonts w:asciiTheme="majorHAnsi" w:eastAsiaTheme="majorEastAsia" w:hAnsiTheme="majorHAnsi" w:cstheme="majorBidi"/>
        </w:rPr>
        <w:t>Service-led restaurants face challenges, remaining below their 2019 market value due to outlet declines and economic pressures. The proportion of UK adults dining at restaurants has only increased by +0.3 percentage points from 2022 to 2024.</w:t>
      </w:r>
    </w:p>
    <w:p w14:paraId="64088651" w14:textId="07142AEE" w:rsidR="0005459F" w:rsidRDefault="009E4F1E" w:rsidP="009E4F1E">
      <w:proofErr w:type="gramStart"/>
      <w:r w:rsidRPr="009E4F1E">
        <w:rPr>
          <w:rFonts w:asciiTheme="majorHAnsi" w:eastAsiaTheme="majorEastAsia" w:hAnsiTheme="majorHAnsi" w:cstheme="majorBidi"/>
        </w:rPr>
        <w:t>Looking ahead, economic improvements, increased footfall, and record employment</w:t>
      </w:r>
      <w:proofErr w:type="gramEnd"/>
      <w:r w:rsidRPr="009E4F1E">
        <w:rPr>
          <w:rFonts w:asciiTheme="majorHAnsi" w:eastAsiaTheme="majorEastAsia" w:hAnsiTheme="majorHAnsi" w:cstheme="majorBidi"/>
        </w:rPr>
        <w:t xml:space="preserve"> are expected to drive market value to £106.7 billion by 2027. Consumer spending power is forecast to strengthen, aided by investment in digitalisation, new formats, and innovative products, boosting the market by +£7 billion from 2024 to 2027. The upcoming general election in H2 2024 may influence market outlook with potential impacts on staff costs, employment, energy costs, and business rates.</w:t>
      </w:r>
    </w:p>
    <w:p w14:paraId="7A0DB05A" w14:textId="6D189B3E" w:rsidR="0005459F" w:rsidRPr="0005459F" w:rsidRDefault="0005459F" w:rsidP="00BE3B0B">
      <w:r w:rsidRPr="0005459F">
        <w:t>END</w:t>
      </w:r>
    </w:p>
    <w:p w14:paraId="27F77509" w14:textId="77777777" w:rsidR="0005459F" w:rsidRDefault="0005459F" w:rsidP="00BE3B0B">
      <w:pPr>
        <w:rPr>
          <w:b/>
          <w:bCs/>
        </w:rPr>
      </w:pPr>
    </w:p>
    <w:p w14:paraId="301E3AB3" w14:textId="077D6643" w:rsidR="00484427" w:rsidRDefault="00484427" w:rsidP="00484427">
      <w:pPr>
        <w:rPr>
          <w:rFonts w:ascii="Arial" w:hAnsi="Arial" w:cs="Arial"/>
          <w:b/>
          <w:bCs/>
          <w:lang w:eastAsia="en-GB"/>
        </w:rPr>
      </w:pPr>
      <w:r>
        <w:rPr>
          <w:rFonts w:ascii="Arial" w:hAnsi="Arial" w:cs="Arial"/>
          <w:b/>
          <w:bCs/>
          <w:lang w:eastAsia="en-GB"/>
        </w:rPr>
        <w:t xml:space="preserve">About the </w:t>
      </w:r>
      <w:r>
        <w:rPr>
          <w:rFonts w:ascii="Arial" w:hAnsi="Arial" w:cs="Arial"/>
          <w:b/>
          <w:bCs/>
          <w:lang w:eastAsia="en-GB"/>
        </w:rPr>
        <w:t>UK Eating Out Market Report 2024</w:t>
      </w:r>
    </w:p>
    <w:p w14:paraId="0DCC62EC" w14:textId="0A54B4E5" w:rsidR="00224205" w:rsidRPr="00484427" w:rsidRDefault="00484427" w:rsidP="00484427">
      <w:pPr>
        <w:pStyle w:val="Pa0"/>
        <w:rPr>
          <w:rFonts w:ascii="Arial" w:hAnsi="Arial" w:cs="Arial"/>
          <w:color w:val="000000"/>
          <w:sz w:val="22"/>
          <w:szCs w:val="22"/>
        </w:rPr>
      </w:pPr>
      <w:r>
        <w:rPr>
          <w:rStyle w:val="A2"/>
          <w:rFonts w:ascii="Arial" w:hAnsi="Arial" w:cs="Arial"/>
          <w:sz w:val="22"/>
          <w:szCs w:val="22"/>
        </w:rPr>
        <w:t xml:space="preserve">The </w:t>
      </w:r>
      <w:hyperlink r:id="rId10" w:history="1">
        <w:r w:rsidRPr="00484427">
          <w:rPr>
            <w:rStyle w:val="Hyperlink"/>
            <w:rFonts w:ascii="Arial" w:hAnsi="Arial" w:cs="Arial"/>
            <w:sz w:val="22"/>
            <w:szCs w:val="22"/>
          </w:rPr>
          <w:t>Lumina Intelligence UK Eating Out Report 2024</w:t>
        </w:r>
      </w:hyperlink>
      <w:r>
        <w:rPr>
          <w:rStyle w:val="A2"/>
          <w:rFonts w:ascii="Arial" w:hAnsi="Arial" w:cs="Arial"/>
          <w:sz w:val="22"/>
          <w:szCs w:val="22"/>
        </w:rPr>
        <w:t xml:space="preserve"> is the trusted source of insight for UK leading manufacturers and operators.  This definitive report quantifies the size and growth of the channel and market forecasts out to 2027, with a detailed look at growth drivers and potential inhibitors.  The report also includes consumer insight from Lumina Intelligence Eating and Drinking Out Panel, which surveys 1,500 consumers every week across the entire year.</w:t>
      </w:r>
    </w:p>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726EF3" w:rsidP="00E86F6E">
      <w:pPr>
        <w:rPr>
          <w:rFonts w:cstheme="minorHAnsi"/>
        </w:rPr>
      </w:pPr>
      <w:hyperlink r:id="rId11"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726EF3" w:rsidP="00E86F6E">
      <w:hyperlink r:id="rId12"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 Regul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459F"/>
    <w:rsid w:val="0005697A"/>
    <w:rsid w:val="00141CF3"/>
    <w:rsid w:val="001A4CBF"/>
    <w:rsid w:val="001E269C"/>
    <w:rsid w:val="00224205"/>
    <w:rsid w:val="003B5C03"/>
    <w:rsid w:val="004332B9"/>
    <w:rsid w:val="00484427"/>
    <w:rsid w:val="004C05A9"/>
    <w:rsid w:val="0050110C"/>
    <w:rsid w:val="00520DDC"/>
    <w:rsid w:val="005503B0"/>
    <w:rsid w:val="00584D75"/>
    <w:rsid w:val="005F3169"/>
    <w:rsid w:val="006302EF"/>
    <w:rsid w:val="00645C76"/>
    <w:rsid w:val="0068623C"/>
    <w:rsid w:val="0069146D"/>
    <w:rsid w:val="006B68D3"/>
    <w:rsid w:val="006D2B2B"/>
    <w:rsid w:val="007033DF"/>
    <w:rsid w:val="00726EF3"/>
    <w:rsid w:val="007462A8"/>
    <w:rsid w:val="007809E2"/>
    <w:rsid w:val="007C11AE"/>
    <w:rsid w:val="007C29CE"/>
    <w:rsid w:val="00844A02"/>
    <w:rsid w:val="00862E37"/>
    <w:rsid w:val="00873A6C"/>
    <w:rsid w:val="00896C04"/>
    <w:rsid w:val="008C2102"/>
    <w:rsid w:val="008D6CF7"/>
    <w:rsid w:val="00942B78"/>
    <w:rsid w:val="009566F8"/>
    <w:rsid w:val="009724BC"/>
    <w:rsid w:val="009740ED"/>
    <w:rsid w:val="0098585D"/>
    <w:rsid w:val="009E4F1E"/>
    <w:rsid w:val="00A0427B"/>
    <w:rsid w:val="00A53CD0"/>
    <w:rsid w:val="00BE3B0B"/>
    <w:rsid w:val="00C22C33"/>
    <w:rsid w:val="00C318FA"/>
    <w:rsid w:val="00C370E6"/>
    <w:rsid w:val="00C7385B"/>
    <w:rsid w:val="00CF388F"/>
    <w:rsid w:val="00D21343"/>
    <w:rsid w:val="00D259BD"/>
    <w:rsid w:val="00DB5B70"/>
    <w:rsid w:val="00E069E8"/>
    <w:rsid w:val="00E465FF"/>
    <w:rsid w:val="00E86F6E"/>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paragraph" w:customStyle="1" w:styleId="Pa0">
    <w:name w:val="Pa0"/>
    <w:basedOn w:val="Normal"/>
    <w:uiPriority w:val="99"/>
    <w:rsid w:val="00484427"/>
    <w:pPr>
      <w:autoSpaceDE w:val="0"/>
      <w:autoSpaceDN w:val="0"/>
      <w:spacing w:after="0" w:line="241" w:lineRule="atLeast"/>
    </w:pPr>
    <w:rPr>
      <w:rFonts w:ascii="Graphik Regular" w:hAnsi="Graphik Regular" w:cs="Calibri"/>
      <w:sz w:val="24"/>
      <w:szCs w:val="24"/>
    </w:rPr>
  </w:style>
  <w:style w:type="character" w:customStyle="1" w:styleId="A2">
    <w:name w:val="A2"/>
    <w:basedOn w:val="DefaultParagraphFont"/>
    <w:uiPriority w:val="99"/>
    <w:rsid w:val="00484427"/>
    <w:rPr>
      <w:rFonts w:ascii="Graphik Regular" w:hAnsi="Graphik Regular"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3225">
      <w:bodyDiv w:val="1"/>
      <w:marLeft w:val="0"/>
      <w:marRight w:val="0"/>
      <w:marTop w:val="0"/>
      <w:marBottom w:val="0"/>
      <w:divBdr>
        <w:top w:val="none" w:sz="0" w:space="0" w:color="auto"/>
        <w:left w:val="none" w:sz="0" w:space="0" w:color="auto"/>
        <w:bottom w:val="none" w:sz="0" w:space="0" w:color="auto"/>
        <w:right w:val="none" w:sz="0" w:space="0" w:color="auto"/>
      </w:divBdr>
    </w:div>
    <w:div w:id="783309807">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1862501">
      <w:bodyDiv w:val="1"/>
      <w:marLeft w:val="0"/>
      <w:marRight w:val="0"/>
      <w:marTop w:val="0"/>
      <w:marBottom w:val="0"/>
      <w:divBdr>
        <w:top w:val="none" w:sz="0" w:space="0" w:color="auto"/>
        <w:left w:val="none" w:sz="0" w:space="0" w:color="auto"/>
        <w:bottom w:val="none" w:sz="0" w:space="0" w:color="auto"/>
        <w:right w:val="none" w:sz="0" w:space="0" w:color="auto"/>
      </w:divBdr>
      <w:divsChild>
        <w:div w:id="1280603135">
          <w:marLeft w:val="0"/>
          <w:marRight w:val="0"/>
          <w:marTop w:val="0"/>
          <w:marBottom w:val="0"/>
          <w:divBdr>
            <w:top w:val="none" w:sz="0" w:space="0" w:color="auto"/>
            <w:left w:val="none" w:sz="0" w:space="0" w:color="auto"/>
            <w:bottom w:val="none" w:sz="0" w:space="0" w:color="auto"/>
            <w:right w:val="none" w:sz="0" w:space="0" w:color="auto"/>
          </w:divBdr>
          <w:divsChild>
            <w:div w:id="1116370204">
              <w:marLeft w:val="0"/>
              <w:marRight w:val="0"/>
              <w:marTop w:val="0"/>
              <w:marBottom w:val="0"/>
              <w:divBdr>
                <w:top w:val="none" w:sz="0" w:space="0" w:color="auto"/>
                <w:left w:val="none" w:sz="0" w:space="0" w:color="auto"/>
                <w:bottom w:val="none" w:sz="0" w:space="0" w:color="auto"/>
                <w:right w:val="none" w:sz="0" w:space="0" w:color="auto"/>
              </w:divBdr>
              <w:divsChild>
                <w:div w:id="1606838271">
                  <w:marLeft w:val="0"/>
                  <w:marRight w:val="0"/>
                  <w:marTop w:val="0"/>
                  <w:marBottom w:val="0"/>
                  <w:divBdr>
                    <w:top w:val="none" w:sz="0" w:space="0" w:color="auto"/>
                    <w:left w:val="none" w:sz="0" w:space="0" w:color="auto"/>
                    <w:bottom w:val="none" w:sz="0" w:space="0" w:color="auto"/>
                    <w:right w:val="none" w:sz="0" w:space="0" w:color="auto"/>
                  </w:divBdr>
                  <w:divsChild>
                    <w:div w:id="2090694103">
                      <w:marLeft w:val="0"/>
                      <w:marRight w:val="0"/>
                      <w:marTop w:val="0"/>
                      <w:marBottom w:val="0"/>
                      <w:divBdr>
                        <w:top w:val="none" w:sz="0" w:space="0" w:color="auto"/>
                        <w:left w:val="none" w:sz="0" w:space="0" w:color="auto"/>
                        <w:bottom w:val="none" w:sz="0" w:space="0" w:color="auto"/>
                        <w:right w:val="none" w:sz="0" w:space="0" w:color="auto"/>
                      </w:divBdr>
                      <w:divsChild>
                        <w:div w:id="693649479">
                          <w:marLeft w:val="0"/>
                          <w:marRight w:val="0"/>
                          <w:marTop w:val="0"/>
                          <w:marBottom w:val="0"/>
                          <w:divBdr>
                            <w:top w:val="none" w:sz="0" w:space="0" w:color="auto"/>
                            <w:left w:val="none" w:sz="0" w:space="0" w:color="auto"/>
                            <w:bottom w:val="none" w:sz="0" w:space="0" w:color="auto"/>
                            <w:right w:val="none" w:sz="0" w:space="0" w:color="auto"/>
                          </w:divBdr>
                          <w:divsChild>
                            <w:div w:id="17918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863586582">
      <w:bodyDiv w:val="1"/>
      <w:marLeft w:val="0"/>
      <w:marRight w:val="0"/>
      <w:marTop w:val="0"/>
      <w:marBottom w:val="0"/>
      <w:divBdr>
        <w:top w:val="none" w:sz="0" w:space="0" w:color="auto"/>
        <w:left w:val="none" w:sz="0" w:space="0" w:color="auto"/>
        <w:bottom w:val="none" w:sz="0" w:space="0" w:color="auto"/>
        <w:right w:val="none" w:sz="0" w:space="0" w:color="auto"/>
      </w:divBdr>
    </w:div>
    <w:div w:id="1986351905">
      <w:bodyDiv w:val="1"/>
      <w:marLeft w:val="0"/>
      <w:marRight w:val="0"/>
      <w:marTop w:val="0"/>
      <w:marBottom w:val="0"/>
      <w:divBdr>
        <w:top w:val="none" w:sz="0" w:space="0" w:color="auto"/>
        <w:left w:val="none" w:sz="0" w:space="0" w:color="auto"/>
        <w:bottom w:val="none" w:sz="0" w:space="0" w:color="auto"/>
        <w:right w:val="none" w:sz="0" w:space="0" w:color="auto"/>
      </w:divBdr>
    </w:div>
    <w:div w:id="20618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 TargetMode="External"/><Relationship Id="rId5" Type="http://schemas.openxmlformats.org/officeDocument/2006/relationships/settings" Target="settings.xml"/><Relationship Id="rId10" Type="http://schemas.openxmlformats.org/officeDocument/2006/relationships/hyperlink" Target="https://store.lumina-intelligence.com/product/uk-eating-out-market-report-2024/" TargetMode="External"/><Relationship Id="rId4" Type="http://schemas.openxmlformats.org/officeDocument/2006/relationships/styles" Target="styles.xml"/><Relationship Id="rId9" Type="http://schemas.openxmlformats.org/officeDocument/2006/relationships/hyperlink" Target="https://store.lumina-intelligence.com/product/uk-eating-out-market-report-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C6D14-E609-44F0-9ED7-AE9BE556A208}">
  <ds:schemaRefs>
    <ds:schemaRef ds:uri="1fd7eceb-fc85-44ad-b2a4-3e682c8dcbfc"/>
    <ds:schemaRef ds:uri="http://purl.org/dc/dcmitype/"/>
    <ds:schemaRef ds:uri="78337373-c547-43d0-875c-96a7ce2ad59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345D18D-638B-4C1C-8568-B27DCF730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5</cp:revision>
  <dcterms:created xsi:type="dcterms:W3CDTF">2024-06-19T15:49:00Z</dcterms:created>
  <dcterms:modified xsi:type="dcterms:W3CDTF">2024-06-19T15:55:00Z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