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7615" w14:textId="77777777" w:rsidR="0069450B" w:rsidRPr="008B64C2" w:rsidRDefault="0069450B" w:rsidP="0069450B">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5ECED215" wp14:editId="3F5E6AB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3DE5B994"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310D343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6298E67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1ECE3DD2" w14:textId="77777777" w:rsidR="0069450B" w:rsidRPr="008B64C2" w:rsidRDefault="00000000" w:rsidP="0069450B">
      <w:pPr>
        <w:spacing w:after="0" w:line="240" w:lineRule="auto"/>
        <w:rPr>
          <w:rStyle w:val="Hyperlink"/>
          <w:rFonts w:asciiTheme="majorHAnsi" w:hAnsiTheme="majorHAnsi" w:cstheme="majorHAnsi"/>
          <w:color w:val="505050"/>
          <w:sz w:val="20"/>
          <w:szCs w:val="20"/>
        </w:rPr>
      </w:pPr>
      <w:hyperlink r:id="rId6" w:history="1">
        <w:r w:rsidR="0069450B" w:rsidRPr="008B64C2">
          <w:rPr>
            <w:rStyle w:val="Hyperlink"/>
            <w:rFonts w:asciiTheme="majorHAnsi" w:hAnsiTheme="majorHAnsi" w:cstheme="majorHAnsi"/>
            <w:b/>
            <w:bCs/>
            <w:sz w:val="20"/>
            <w:szCs w:val="20"/>
          </w:rPr>
          <w:t>monica.ricocastrillo@lumina-intelligence.co.uk</w:t>
        </w:r>
      </w:hyperlink>
    </w:p>
    <w:p w14:paraId="69266BEA" w14:textId="77777777" w:rsidR="0069450B" w:rsidRPr="008B64C2" w:rsidRDefault="0069450B" w:rsidP="0069450B">
      <w:pPr>
        <w:spacing w:after="0" w:line="240" w:lineRule="auto"/>
        <w:rPr>
          <w:rFonts w:asciiTheme="majorHAnsi" w:hAnsiTheme="majorHAnsi" w:cstheme="majorHAnsi"/>
          <w:sz w:val="20"/>
          <w:szCs w:val="20"/>
          <w:u w:val="single"/>
        </w:rPr>
      </w:pPr>
    </w:p>
    <w:p w14:paraId="0206ECEB" w14:textId="2342082A" w:rsidR="0069450B" w:rsidRPr="00211178" w:rsidRDefault="00DD4F92" w:rsidP="0069450B">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7</w:t>
      </w:r>
      <w:r w:rsidR="00C91B33">
        <w:rPr>
          <w:rFonts w:asciiTheme="majorHAnsi" w:hAnsiTheme="majorHAnsi" w:cstheme="majorHAnsi"/>
          <w:b/>
          <w:bCs/>
          <w:sz w:val="20"/>
          <w:szCs w:val="20"/>
          <w:u w:val="single"/>
        </w:rPr>
        <w:t>th</w:t>
      </w:r>
      <w:r w:rsidR="00AB4BB1">
        <w:rPr>
          <w:rFonts w:asciiTheme="majorHAnsi" w:hAnsiTheme="majorHAnsi" w:cstheme="majorHAnsi"/>
          <w:b/>
          <w:bCs/>
          <w:sz w:val="20"/>
          <w:szCs w:val="20"/>
          <w:u w:val="single"/>
        </w:rPr>
        <w:t xml:space="preserve"> </w:t>
      </w:r>
      <w:r w:rsidR="00B30E2F">
        <w:rPr>
          <w:rFonts w:asciiTheme="majorHAnsi" w:hAnsiTheme="majorHAnsi" w:cstheme="majorHAnsi"/>
          <w:b/>
          <w:bCs/>
          <w:sz w:val="20"/>
          <w:szCs w:val="20"/>
          <w:u w:val="single"/>
        </w:rPr>
        <w:t>March</w:t>
      </w:r>
      <w:r w:rsidR="0069450B" w:rsidRPr="008B64C2">
        <w:rPr>
          <w:rFonts w:asciiTheme="majorHAnsi" w:hAnsiTheme="majorHAnsi" w:cstheme="majorHAnsi"/>
          <w:b/>
          <w:bCs/>
          <w:sz w:val="20"/>
          <w:szCs w:val="20"/>
          <w:u w:val="single"/>
        </w:rPr>
        <w:t xml:space="preserve"> 202</w:t>
      </w:r>
      <w:r>
        <w:rPr>
          <w:rFonts w:asciiTheme="majorHAnsi" w:hAnsiTheme="majorHAnsi" w:cstheme="majorHAnsi"/>
          <w:b/>
          <w:bCs/>
          <w:sz w:val="20"/>
          <w:szCs w:val="20"/>
          <w:u w:val="single"/>
        </w:rPr>
        <w:t>5</w:t>
      </w:r>
    </w:p>
    <w:p w14:paraId="3DEE9F24" w14:textId="50A6416C" w:rsidR="0069450B" w:rsidRDefault="0069450B" w:rsidP="003C3267">
      <w:pPr>
        <w:rPr>
          <w:b/>
          <w:bCs/>
        </w:rPr>
      </w:pPr>
    </w:p>
    <w:p w14:paraId="702B5FAC" w14:textId="77777777" w:rsidR="00066D42" w:rsidRDefault="00066D42" w:rsidP="00066D42">
      <w:pPr>
        <w:rPr>
          <w:b/>
          <w:bCs/>
          <w:sz w:val="28"/>
          <w:szCs w:val="28"/>
        </w:rPr>
      </w:pPr>
    </w:p>
    <w:p w14:paraId="06BFBD46" w14:textId="1B0366D7" w:rsidR="00066D42" w:rsidRDefault="00DD4F92" w:rsidP="00066D42">
      <w:pPr>
        <w:rPr>
          <w:b/>
          <w:bCs/>
          <w:sz w:val="28"/>
          <w:szCs w:val="28"/>
        </w:rPr>
      </w:pPr>
      <w:r w:rsidRPr="00DD4F92">
        <w:rPr>
          <w:b/>
          <w:bCs/>
          <w:sz w:val="28"/>
          <w:szCs w:val="28"/>
        </w:rPr>
        <w:t>UK Food to Go Market Set to Surpass £24bn in 2025 as Demand for Convenience Drives Growth</w:t>
      </w:r>
    </w:p>
    <w:p w14:paraId="78C549FC" w14:textId="77777777" w:rsidR="00DD4F92" w:rsidRDefault="00DD4F92" w:rsidP="00066D42"/>
    <w:p w14:paraId="79D3C0B1" w14:textId="44627FB1" w:rsidR="00DD4F92" w:rsidRPr="00DD4F92" w:rsidRDefault="00DD4F92" w:rsidP="00DD4F92">
      <w:r w:rsidRPr="00DD4F92">
        <w:t xml:space="preserve">Lumina Intelligence has launched the </w:t>
      </w:r>
      <w:r w:rsidRPr="00DD4F92">
        <w:rPr>
          <w:b/>
          <w:bCs/>
        </w:rPr>
        <w:t>UK Food to Go Market Report 2025</w:t>
      </w:r>
      <w:r w:rsidRPr="00DD4F92">
        <w:t xml:space="preserve">, revealing that the sector is forecast to grow </w:t>
      </w:r>
      <w:r w:rsidRPr="00DD4F92">
        <w:rPr>
          <w:b/>
          <w:bCs/>
        </w:rPr>
        <w:t>+3.3%</w:t>
      </w:r>
      <w:r w:rsidRPr="00DD4F92">
        <w:t xml:space="preserve"> to reach a value of </w:t>
      </w:r>
      <w:r w:rsidRPr="00DD4F92">
        <w:rPr>
          <w:b/>
          <w:bCs/>
        </w:rPr>
        <w:t>£24bn</w:t>
      </w:r>
      <w:r w:rsidRPr="00DD4F92">
        <w:t xml:space="preserve"> in 2025. This growth is set to outpace the total eating out market and inflation, reinforcing the resilience and dynamism of food to go as a dominant force in the UK’s hospitality sector.</w:t>
      </w:r>
    </w:p>
    <w:p w14:paraId="4B942D67" w14:textId="77777777" w:rsidR="00DD4F92" w:rsidRPr="00DD4F92" w:rsidRDefault="00DD4F92" w:rsidP="00DD4F92">
      <w:r w:rsidRPr="00DD4F92">
        <w:t xml:space="preserve">As food to go strengthens its foothold, its share of the total eating out market is expected to climb to </w:t>
      </w:r>
      <w:r w:rsidRPr="00DD4F92">
        <w:rPr>
          <w:b/>
          <w:bCs/>
        </w:rPr>
        <w:t>23.6%</w:t>
      </w:r>
      <w:r w:rsidRPr="00DD4F92">
        <w:t xml:space="preserve">, an increase of </w:t>
      </w:r>
      <w:r w:rsidRPr="00DD4F92">
        <w:rPr>
          <w:b/>
          <w:bCs/>
        </w:rPr>
        <w:t>+0.6 percentage points from 2019</w:t>
      </w:r>
      <w:r w:rsidRPr="00DD4F92">
        <w:t>. Investment from fast food operators, convenience stores, and sandwich and bakery chains has been instrumental in driving growth, capitalising on the UK’s continued demand for high-quality, convenient meal options.</w:t>
      </w:r>
    </w:p>
    <w:p w14:paraId="0E9E9FDD" w14:textId="77777777" w:rsidR="00DD4F92" w:rsidRPr="00DD4F92" w:rsidRDefault="00DD4F92" w:rsidP="00DD4F92">
      <w:pPr>
        <w:rPr>
          <w:b/>
          <w:bCs/>
          <w:sz w:val="24"/>
          <w:szCs w:val="24"/>
        </w:rPr>
      </w:pPr>
      <w:r w:rsidRPr="00DD4F92">
        <w:rPr>
          <w:b/>
          <w:bCs/>
          <w:sz w:val="24"/>
          <w:szCs w:val="24"/>
        </w:rPr>
        <w:t>Affluent Millennials Lead the Charge as Spending Polarises</w:t>
      </w:r>
    </w:p>
    <w:p w14:paraId="766793C9" w14:textId="17CBB858" w:rsidR="00DD4F92" w:rsidRPr="00DD4F92" w:rsidRDefault="00DD4F92" w:rsidP="00DD4F92">
      <w:r w:rsidRPr="00DD4F92">
        <w:t>The report highlights an emerging polarisation in consumer spending power, with the highest earners driving growth. Food to go penetration</w:t>
      </w:r>
      <w:r w:rsidR="008D2013">
        <w:t xml:space="preserve"> growth</w:t>
      </w:r>
      <w:r w:rsidRPr="00DD4F92">
        <w:t xml:space="preserve"> from </w:t>
      </w:r>
      <w:r w:rsidRPr="00DD4F92">
        <w:rPr>
          <w:b/>
          <w:bCs/>
        </w:rPr>
        <w:t>2023-2024</w:t>
      </w:r>
      <w:r w:rsidRPr="00DD4F92">
        <w:t xml:space="preserve"> has been dominated by those earning </w:t>
      </w:r>
      <w:r w:rsidRPr="00DD4F92">
        <w:rPr>
          <w:b/>
          <w:bCs/>
        </w:rPr>
        <w:t>over £50,000</w:t>
      </w:r>
      <w:r w:rsidRPr="00DD4F92">
        <w:t xml:space="preserve">, with </w:t>
      </w:r>
      <w:r w:rsidRPr="00DD4F92">
        <w:rPr>
          <w:b/>
          <w:bCs/>
        </w:rPr>
        <w:t>affluent millennials in management roles in London</w:t>
      </w:r>
      <w:r w:rsidRPr="00DD4F92">
        <w:t xml:space="preserve"> leading the charge. A </w:t>
      </w:r>
      <w:r w:rsidR="008D2013">
        <w:t>notable</w:t>
      </w:r>
      <w:r w:rsidRPr="00DD4F92">
        <w:t xml:space="preserve"> factor behind this trend is the continued return to office-based working, which has bolstered weekday food to go occasions, particularly at lunchtime.</w:t>
      </w:r>
      <w:r w:rsidR="008D2013">
        <w:t xml:space="preserve"> There are opportunities for operators to increase transaction values through targeting these consumers with elevated propositions.</w:t>
      </w:r>
    </w:p>
    <w:p w14:paraId="7E9D7030" w14:textId="2A2E0545" w:rsidR="00DD4F92" w:rsidRPr="00DD4F92" w:rsidRDefault="00DD4F92" w:rsidP="00DD4F92">
      <w:r w:rsidRPr="00DD4F92">
        <w:t xml:space="preserve">The </w:t>
      </w:r>
      <w:r w:rsidRPr="00DD4F92">
        <w:rPr>
          <w:b/>
          <w:bCs/>
        </w:rPr>
        <w:t>lunchtime day-part has experienced the most notable increase in share of occasions</w:t>
      </w:r>
      <w:r w:rsidRPr="00DD4F92">
        <w:t xml:space="preserve">, rising </w:t>
      </w:r>
      <w:r w:rsidRPr="00DD4F92">
        <w:rPr>
          <w:b/>
          <w:bCs/>
        </w:rPr>
        <w:t>+1.0 percentage point to 32.2%</w:t>
      </w:r>
      <w:r w:rsidRPr="00DD4F92">
        <w:t xml:space="preserve">, with </w:t>
      </w:r>
      <w:r w:rsidRPr="00DD4F92">
        <w:rPr>
          <w:b/>
          <w:bCs/>
        </w:rPr>
        <w:t>solo missions on Mondays and Wednesdays</w:t>
      </w:r>
      <w:r w:rsidRPr="00DD4F92">
        <w:t xml:space="preserve"> proving to be key drivers of this uplift.</w:t>
      </w:r>
      <w:r w:rsidR="008D2013">
        <w:t xml:space="preserve">  </w:t>
      </w:r>
    </w:p>
    <w:p w14:paraId="78E5F079" w14:textId="77777777" w:rsidR="00DD4F92" w:rsidRPr="00DD4F92" w:rsidRDefault="00DD4F92" w:rsidP="00DD4F92">
      <w:pPr>
        <w:rPr>
          <w:b/>
          <w:bCs/>
          <w:sz w:val="24"/>
          <w:szCs w:val="24"/>
        </w:rPr>
      </w:pPr>
      <w:r w:rsidRPr="00DD4F92">
        <w:rPr>
          <w:b/>
          <w:bCs/>
          <w:sz w:val="24"/>
          <w:szCs w:val="24"/>
        </w:rPr>
        <w:t>Innovation and Expansion Power Market Leaders</w:t>
      </w:r>
    </w:p>
    <w:p w14:paraId="284748B8" w14:textId="77777777" w:rsidR="00DD4F92" w:rsidRPr="00DD4F92" w:rsidRDefault="00DD4F92" w:rsidP="00DD4F92">
      <w:r w:rsidRPr="00DD4F92">
        <w:t xml:space="preserve">The UK’s leading food to go players have </w:t>
      </w:r>
      <w:r w:rsidRPr="00DD4F92">
        <w:rPr>
          <w:b/>
          <w:bCs/>
        </w:rPr>
        <w:t>expanded market share beyond pre-pandemic levels</w:t>
      </w:r>
      <w:r w:rsidRPr="00DD4F92">
        <w:t xml:space="preserve">, leveraging investment in store layouts, product innovation, and diversified formats. Convenience stores, sandwich &amp; bakery outlets, and coffee shop chains are all projected to </w:t>
      </w:r>
      <w:r w:rsidRPr="00DD4F92">
        <w:rPr>
          <w:b/>
          <w:bCs/>
        </w:rPr>
        <w:t>increase their share of the food to go sector between 2019 and 2028</w:t>
      </w:r>
      <w:r w:rsidRPr="00DD4F92">
        <w:t>.</w:t>
      </w:r>
    </w:p>
    <w:p w14:paraId="51BD90F0" w14:textId="77777777" w:rsidR="00DD4F92" w:rsidRPr="00DD4F92" w:rsidRDefault="00DD4F92" w:rsidP="00DD4F92">
      <w:r w:rsidRPr="00DD4F92">
        <w:t xml:space="preserve">The market is also poised for a period of sustained expansion, with total outlet numbers forecast to rise </w:t>
      </w:r>
      <w:r w:rsidRPr="00DD4F92">
        <w:rPr>
          <w:b/>
          <w:bCs/>
        </w:rPr>
        <w:t>+1.2% to 155,711 locations</w:t>
      </w:r>
      <w:r w:rsidRPr="00DD4F92">
        <w:t>, driven by operators rolling out new store formats in both urban and suburban locations. Aligning product ranges with evolving consumer tastes, including premiumisation and health-conscious offerings, has been a cornerstone of success for these key players.</w:t>
      </w:r>
    </w:p>
    <w:p w14:paraId="706E15B6" w14:textId="77777777" w:rsidR="00DD4F92" w:rsidRPr="00DD4F92" w:rsidRDefault="00DD4F92" w:rsidP="00DD4F92">
      <w:pPr>
        <w:rPr>
          <w:b/>
          <w:bCs/>
          <w:sz w:val="24"/>
          <w:szCs w:val="24"/>
        </w:rPr>
      </w:pPr>
      <w:r w:rsidRPr="00DD4F92">
        <w:rPr>
          <w:b/>
          <w:bCs/>
          <w:sz w:val="24"/>
          <w:szCs w:val="24"/>
        </w:rPr>
        <w:t>Quality and Health Propel Consumer Choices</w:t>
      </w:r>
    </w:p>
    <w:p w14:paraId="4A43CEBE" w14:textId="7B37421D" w:rsidR="00DD4F92" w:rsidRPr="00DD4F92" w:rsidRDefault="00DD4F92" w:rsidP="00DD4F92">
      <w:r w:rsidRPr="00DD4F92">
        <w:lastRenderedPageBreak/>
        <w:t xml:space="preserve">A heightened consumer focus on </w:t>
      </w:r>
      <w:r w:rsidRPr="00DD4F92">
        <w:rPr>
          <w:b/>
          <w:bCs/>
        </w:rPr>
        <w:t>elevated classics and functional health</w:t>
      </w:r>
      <w:r w:rsidRPr="00DD4F92">
        <w:t xml:space="preserve"> presents a lucrative opportunity for food to go operators. Demand for premium sandwiches and functional ingredients</w:t>
      </w:r>
      <w:r w:rsidR="008D2013">
        <w:t xml:space="preserve"> - including</w:t>
      </w:r>
      <w:r w:rsidRPr="00DD4F92">
        <w:t xml:space="preserve"> </w:t>
      </w:r>
      <w:r w:rsidRPr="00DD4F92">
        <w:rPr>
          <w:b/>
          <w:bCs/>
        </w:rPr>
        <w:t>lion’s mane mushroom in drinks and meals</w:t>
      </w:r>
      <w:r w:rsidR="008D2013">
        <w:t xml:space="preserve"> - </w:t>
      </w:r>
      <w:r w:rsidRPr="00DD4F92">
        <w:t xml:space="preserve">is rising as consumers seek </w:t>
      </w:r>
      <w:r w:rsidRPr="00DD4F92">
        <w:rPr>
          <w:b/>
          <w:bCs/>
        </w:rPr>
        <w:t>accessible ways to boost their health</w:t>
      </w:r>
      <w:r w:rsidRPr="00DD4F92">
        <w:t>.</w:t>
      </w:r>
    </w:p>
    <w:p w14:paraId="265F30F5" w14:textId="77777777" w:rsidR="00DD4F92" w:rsidRPr="00DD4F92" w:rsidRDefault="00DD4F92" w:rsidP="00DD4F92">
      <w:r w:rsidRPr="00DD4F92">
        <w:t xml:space="preserve">Year-on-year, the share of consumers who identify as </w:t>
      </w:r>
      <w:r w:rsidRPr="00DD4F92">
        <w:rPr>
          <w:b/>
          <w:bCs/>
        </w:rPr>
        <w:t>very quality-led and very health-conscious</w:t>
      </w:r>
      <w:r w:rsidRPr="00DD4F92">
        <w:t xml:space="preserve"> has continued to increase beyond </w:t>
      </w:r>
      <w:r w:rsidRPr="00DD4F92">
        <w:rPr>
          <w:b/>
          <w:bCs/>
        </w:rPr>
        <w:t>2022 levels</w:t>
      </w:r>
      <w:r w:rsidRPr="00DD4F92">
        <w:t>, indicating a long-term shift in purchasing behaviour.</w:t>
      </w:r>
    </w:p>
    <w:p w14:paraId="2CE5E9FE" w14:textId="77777777" w:rsidR="00DD4F92" w:rsidRPr="00DD4F92" w:rsidRDefault="00DD4F92" w:rsidP="00DD4F92">
      <w:pPr>
        <w:rPr>
          <w:b/>
          <w:bCs/>
          <w:sz w:val="24"/>
          <w:szCs w:val="24"/>
        </w:rPr>
      </w:pPr>
      <w:r w:rsidRPr="00DD4F92">
        <w:rPr>
          <w:b/>
          <w:bCs/>
          <w:sz w:val="24"/>
          <w:szCs w:val="24"/>
        </w:rPr>
        <w:t>Future Outlook: A £26bn Market by 2028</w:t>
      </w:r>
    </w:p>
    <w:p w14:paraId="0B4E7797" w14:textId="77777777" w:rsidR="00DD4F92" w:rsidRPr="00DD4F92" w:rsidRDefault="00DD4F92" w:rsidP="00DD4F92">
      <w:r w:rsidRPr="00DD4F92">
        <w:t xml:space="preserve">Looking ahead, easing economic tailwinds and sustained consumer appetite for food to go are expected to drive market value to </w:t>
      </w:r>
      <w:r w:rsidRPr="00DD4F92">
        <w:rPr>
          <w:b/>
          <w:bCs/>
        </w:rPr>
        <w:t>£26bn by 2028</w:t>
      </w:r>
      <w:r w:rsidRPr="00DD4F92">
        <w:t xml:space="preserve">. The forecast size of the prize for leading operators from </w:t>
      </w:r>
      <w:r w:rsidRPr="00DD4F92">
        <w:rPr>
          <w:b/>
          <w:bCs/>
        </w:rPr>
        <w:t>2025 to 2028</w:t>
      </w:r>
      <w:r w:rsidRPr="00DD4F92">
        <w:t xml:space="preserve"> stands at </w:t>
      </w:r>
      <w:r w:rsidRPr="00DD4F92">
        <w:rPr>
          <w:b/>
          <w:bCs/>
        </w:rPr>
        <w:t>£2.1bn</w:t>
      </w:r>
      <w:r w:rsidRPr="00DD4F92">
        <w:t>, underscoring the potential for brands that invest in their operations and innovation pipelines.</w:t>
      </w:r>
    </w:p>
    <w:p w14:paraId="5C4E85D0" w14:textId="77777777" w:rsidR="00DD4F92" w:rsidRPr="00DD4F92" w:rsidRDefault="00DD4F92" w:rsidP="00DD4F92">
      <w:r w:rsidRPr="00DD4F92">
        <w:t xml:space="preserve">However, in order to fully realise growth opportunities and counterbalance rising costs, operators will need to strategically invest in </w:t>
      </w:r>
      <w:r w:rsidRPr="00DD4F92">
        <w:rPr>
          <w:b/>
          <w:bCs/>
        </w:rPr>
        <w:t>technology and automation</w:t>
      </w:r>
      <w:r w:rsidRPr="00DD4F92">
        <w:t xml:space="preserve">, as </w:t>
      </w:r>
      <w:r w:rsidRPr="00DD4F92">
        <w:rPr>
          <w:b/>
          <w:bCs/>
        </w:rPr>
        <w:t>service automation success rates remain mixed</w:t>
      </w:r>
      <w:r w:rsidRPr="00DD4F92">
        <w:t xml:space="preserve"> across the sector.</w:t>
      </w:r>
    </w:p>
    <w:p w14:paraId="392321D1" w14:textId="77777777" w:rsidR="00066D42" w:rsidRDefault="00066D42" w:rsidP="00066D42"/>
    <w:p w14:paraId="31F070BC" w14:textId="0F3AA93F" w:rsidR="0069450B" w:rsidRDefault="0069450B" w:rsidP="003C3267">
      <w:r>
        <w:t>ENDS</w:t>
      </w:r>
    </w:p>
    <w:p w14:paraId="587B7EF2" w14:textId="14C1F870" w:rsidR="0069450B" w:rsidRDefault="0069450B" w:rsidP="003C3267"/>
    <w:p w14:paraId="7B72485D" w14:textId="77777777" w:rsidR="0069450B" w:rsidRDefault="0069450B" w:rsidP="0069450B">
      <w:pPr>
        <w:rPr>
          <w:rFonts w:cstheme="minorHAnsi"/>
          <w:b/>
          <w:bCs/>
        </w:rPr>
      </w:pPr>
      <w:r w:rsidRPr="00C87FF4">
        <w:rPr>
          <w:rFonts w:cstheme="minorHAnsi"/>
          <w:b/>
          <w:bCs/>
        </w:rPr>
        <w:t>Report Methodology</w:t>
      </w:r>
    </w:p>
    <w:p w14:paraId="6A4F0374" w14:textId="6B81D265" w:rsidR="0069450B" w:rsidRDefault="0069450B" w:rsidP="0069450B">
      <w:r w:rsidRPr="00EF4E47">
        <w:t xml:space="preserve">The </w:t>
      </w:r>
      <w:hyperlink r:id="rId7" w:history="1">
        <w:r w:rsidRPr="00066D42">
          <w:rPr>
            <w:rStyle w:val="Hyperlink"/>
          </w:rPr>
          <w:t xml:space="preserve">Lumina Intelligence </w:t>
        </w:r>
        <w:r w:rsidR="00066D42" w:rsidRPr="00066D42">
          <w:rPr>
            <w:rStyle w:val="Hyperlink"/>
          </w:rPr>
          <w:t>Food to Go Market Report 202</w:t>
        </w:r>
        <w:r w:rsidR="008F5C8A">
          <w:rPr>
            <w:rStyle w:val="Hyperlink"/>
          </w:rPr>
          <w:t>5</w:t>
        </w:r>
      </w:hyperlink>
      <w:r w:rsidR="008F5C8A">
        <w:rPr>
          <w:rStyle w:val="Hyperlink"/>
        </w:rPr>
        <w:t xml:space="preserve"> </w:t>
      </w:r>
      <w:r w:rsidRPr="00EF4E47">
        <w:t>is the ultimate guide to stay ahead in the fast-paced food to go industry. With a focus on outlook and comprehensive insights into consumer behaviour and preferences, th</w:t>
      </w:r>
      <w:r>
        <w:t xml:space="preserve">e </w:t>
      </w:r>
      <w:r w:rsidRPr="00EF4E47">
        <w:t>report provide</w:t>
      </w:r>
      <w:r>
        <w:t>s</w:t>
      </w:r>
      <w:r w:rsidRPr="00EF4E47">
        <w:t xml:space="preserve"> knowledge</w:t>
      </w:r>
      <w:r>
        <w:t xml:space="preserve"> on current </w:t>
      </w:r>
      <w:r w:rsidRPr="00EF4E47">
        <w:t>market size and share</w:t>
      </w:r>
      <w:r>
        <w:t>,</w:t>
      </w:r>
      <w:r w:rsidRPr="005C5989">
        <w:t xml:space="preserve"> </w:t>
      </w:r>
      <w:r w:rsidRPr="00CC3D67">
        <w:t>growth drivers and inhibitors in the industry and turnover forecasts to 202</w:t>
      </w:r>
      <w:r w:rsidR="008F5C8A">
        <w:t>8</w:t>
      </w:r>
      <w:r>
        <w:t>.</w:t>
      </w:r>
    </w:p>
    <w:p w14:paraId="74447A17" w14:textId="77777777" w:rsidR="0069450B" w:rsidRDefault="0069450B" w:rsidP="0069450B">
      <w:r>
        <w:t xml:space="preserve">The report’s methodology is as follows: </w:t>
      </w:r>
    </w:p>
    <w:p w14:paraId="020CB55A" w14:textId="77777777" w:rsidR="0069450B" w:rsidRPr="005C5989" w:rsidRDefault="0069450B" w:rsidP="0069450B">
      <w:pPr>
        <w:pStyle w:val="ListParagraph"/>
        <w:numPr>
          <w:ilvl w:val="0"/>
          <w:numId w:val="1"/>
        </w:numPr>
      </w:pPr>
      <w:r w:rsidRPr="005C5989">
        <w:t xml:space="preserve">Consumer eating out behaviour across all UK eating and drinking out channels through the </w:t>
      </w:r>
      <w:hyperlink r:id="rId8" w:history="1">
        <w:r w:rsidRPr="005C5989">
          <w:rPr>
            <w:rStyle w:val="Hyperlink"/>
          </w:rPr>
          <w:t>Lumina Intelligence Eating &amp; Drinking Out Panel</w:t>
        </w:r>
      </w:hyperlink>
      <w:r w:rsidRPr="005C5989">
        <w:t>, based on 78,000 interviews each year</w:t>
      </w:r>
    </w:p>
    <w:p w14:paraId="3C95EDE0" w14:textId="77777777" w:rsidR="0069450B" w:rsidRPr="005C5989" w:rsidRDefault="0069450B" w:rsidP="0069450B">
      <w:pPr>
        <w:pStyle w:val="ListParagraph"/>
        <w:numPr>
          <w:ilvl w:val="0"/>
          <w:numId w:val="1"/>
        </w:numPr>
      </w:pPr>
      <w:r w:rsidRPr="005C5989">
        <w:t>Market sizing data tracking the performance of hospitality and grocery operators, based on turnover and outlet numbers as well as extracts from</w:t>
      </w:r>
      <w:r>
        <w:t xml:space="preserve"> our </w:t>
      </w:r>
      <w:hyperlink r:id="rId9" w:history="1">
        <w:r w:rsidRPr="005C5989">
          <w:rPr>
            <w:rStyle w:val="Hyperlink"/>
          </w:rPr>
          <w:t>Operator Data Index</w:t>
        </w:r>
      </w:hyperlink>
      <w:r w:rsidRPr="005C5989">
        <w:t xml:space="preserve"> and wider synthesis with total Eating Out market sizing</w:t>
      </w:r>
    </w:p>
    <w:p w14:paraId="5ED37C59" w14:textId="77777777" w:rsidR="0069450B" w:rsidRDefault="0069450B" w:rsidP="0069450B">
      <w:pPr>
        <w:pStyle w:val="ListParagraph"/>
        <w:numPr>
          <w:ilvl w:val="0"/>
          <w:numId w:val="1"/>
        </w:numPr>
      </w:pPr>
      <w:r w:rsidRPr="005C5989">
        <w:t>Bespoke analysis of new products available at a selection of key food to go player sites, with year-on-year comparisons</w:t>
      </w:r>
    </w:p>
    <w:p w14:paraId="7256483B" w14:textId="77777777" w:rsidR="0069450B" w:rsidRPr="008A4EFB" w:rsidRDefault="0069450B" w:rsidP="0069450B"/>
    <w:p w14:paraId="731E00D5" w14:textId="77777777" w:rsidR="0069450B" w:rsidRPr="00C87FF4" w:rsidRDefault="0069450B" w:rsidP="0069450B">
      <w:pPr>
        <w:rPr>
          <w:rFonts w:cstheme="minorHAnsi"/>
          <w:b/>
          <w:bCs/>
        </w:rPr>
      </w:pPr>
      <w:r w:rsidRPr="00C87FF4">
        <w:rPr>
          <w:rFonts w:cstheme="minorHAnsi"/>
          <w:b/>
          <w:bCs/>
        </w:rPr>
        <w:t>About Lumina Intelligence</w:t>
      </w:r>
    </w:p>
    <w:p w14:paraId="6112DFE4" w14:textId="77777777" w:rsidR="0069450B" w:rsidRPr="00C87FF4" w:rsidRDefault="0069450B" w:rsidP="0069450B">
      <w:pPr>
        <w:rPr>
          <w:rFonts w:cstheme="minorHAnsi"/>
        </w:rPr>
      </w:pPr>
      <w:r w:rsidRPr="00C87FF4">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2C24190D" w14:textId="77777777" w:rsidR="0069450B" w:rsidRPr="00C87FF4" w:rsidRDefault="0069450B" w:rsidP="0069450B">
      <w:pPr>
        <w:rPr>
          <w:rFonts w:cstheme="minorHAnsi"/>
        </w:rPr>
      </w:pPr>
      <w:r w:rsidRPr="00C87FF4">
        <w:rPr>
          <w:rFonts w:cstheme="minorHAnsi"/>
        </w:rPr>
        <w:t xml:space="preserve">Combining the expertise and experience of HIM, MCA Insight and Lumina Intelligence, we are the experts in market and consumer insight across the food &amp; drink and nutrition markets. </w:t>
      </w:r>
    </w:p>
    <w:p w14:paraId="7FE1DEC9" w14:textId="77777777" w:rsidR="0069450B" w:rsidRPr="00894567" w:rsidRDefault="00000000" w:rsidP="0069450B">
      <w:hyperlink r:id="rId10" w:history="1">
        <w:r w:rsidR="0069450B" w:rsidRPr="00B74951">
          <w:rPr>
            <w:rStyle w:val="Hyperlink"/>
            <w:rFonts w:cstheme="minorHAnsi"/>
          </w:rPr>
          <w:t>https://www.lumina-intelligence.com/</w:t>
        </w:r>
      </w:hyperlink>
      <w:r w:rsidR="0069450B">
        <w:rPr>
          <w:rFonts w:cstheme="minorHAnsi"/>
        </w:rPr>
        <w:t xml:space="preserve"> </w:t>
      </w:r>
    </w:p>
    <w:p w14:paraId="172CC7C6" w14:textId="77777777" w:rsidR="0069450B" w:rsidRDefault="0069450B" w:rsidP="0069450B"/>
    <w:p w14:paraId="7D7A6BC7" w14:textId="33FAE9DE" w:rsidR="0069450B" w:rsidRDefault="00EC43F8" w:rsidP="0069450B">
      <w:r>
        <w:br w:type="page"/>
      </w:r>
    </w:p>
    <w:p w14:paraId="70649117" w14:textId="77777777" w:rsidR="0069450B" w:rsidRDefault="0069450B" w:rsidP="003C3267"/>
    <w:sectPr w:rsidR="00694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87C68"/>
    <w:multiLevelType w:val="hybridMultilevel"/>
    <w:tmpl w:val="0976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15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67"/>
    <w:rsid w:val="0006149F"/>
    <w:rsid w:val="00066D42"/>
    <w:rsid w:val="000E7F63"/>
    <w:rsid w:val="003C3267"/>
    <w:rsid w:val="004F2EAF"/>
    <w:rsid w:val="0069450B"/>
    <w:rsid w:val="007F0648"/>
    <w:rsid w:val="008D2013"/>
    <w:rsid w:val="008F5C8A"/>
    <w:rsid w:val="009976D5"/>
    <w:rsid w:val="00AB4BB1"/>
    <w:rsid w:val="00AC5967"/>
    <w:rsid w:val="00B30E2F"/>
    <w:rsid w:val="00C531B0"/>
    <w:rsid w:val="00C91B33"/>
    <w:rsid w:val="00D4246A"/>
    <w:rsid w:val="00D74AF9"/>
    <w:rsid w:val="00DD4F92"/>
    <w:rsid w:val="00E465FF"/>
    <w:rsid w:val="00EC4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A8A5"/>
  <w15:chartTrackingRefBased/>
  <w15:docId w15:val="{42F4D0B8-C891-4C4F-81BD-7D5FD9B0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50B"/>
    <w:rPr>
      <w:color w:val="0563C1" w:themeColor="hyperlink"/>
      <w:u w:val="single"/>
    </w:rPr>
  </w:style>
  <w:style w:type="paragraph" w:styleId="ListParagraph">
    <w:name w:val="List Paragraph"/>
    <w:basedOn w:val="Normal"/>
    <w:uiPriority w:val="34"/>
    <w:qFormat/>
    <w:rsid w:val="0069450B"/>
    <w:pPr>
      <w:ind w:left="720"/>
      <w:contextualSpacing/>
    </w:pPr>
  </w:style>
  <w:style w:type="character" w:styleId="UnresolvedMention">
    <w:name w:val="Unresolved Mention"/>
    <w:basedOn w:val="DefaultParagraphFont"/>
    <w:uiPriority w:val="99"/>
    <w:semiHidden/>
    <w:unhideWhenUsed/>
    <w:rsid w:val="0069450B"/>
    <w:rPr>
      <w:color w:val="605E5C"/>
      <w:shd w:val="clear" w:color="auto" w:fill="E1DFDD"/>
    </w:rPr>
  </w:style>
  <w:style w:type="character" w:styleId="CommentReference">
    <w:name w:val="annotation reference"/>
    <w:basedOn w:val="DefaultParagraphFont"/>
    <w:uiPriority w:val="99"/>
    <w:semiHidden/>
    <w:unhideWhenUsed/>
    <w:rsid w:val="007F0648"/>
    <w:rPr>
      <w:sz w:val="16"/>
      <w:szCs w:val="16"/>
    </w:rPr>
  </w:style>
  <w:style w:type="paragraph" w:styleId="CommentText">
    <w:name w:val="annotation text"/>
    <w:basedOn w:val="Normal"/>
    <w:link w:val="CommentTextChar"/>
    <w:uiPriority w:val="99"/>
    <w:semiHidden/>
    <w:unhideWhenUsed/>
    <w:rsid w:val="007F0648"/>
    <w:pPr>
      <w:spacing w:line="240" w:lineRule="auto"/>
    </w:pPr>
    <w:rPr>
      <w:sz w:val="20"/>
      <w:szCs w:val="20"/>
    </w:rPr>
  </w:style>
  <w:style w:type="character" w:customStyle="1" w:styleId="CommentTextChar">
    <w:name w:val="Comment Text Char"/>
    <w:basedOn w:val="DefaultParagraphFont"/>
    <w:link w:val="CommentText"/>
    <w:uiPriority w:val="99"/>
    <w:semiHidden/>
    <w:rsid w:val="007F0648"/>
    <w:rPr>
      <w:sz w:val="20"/>
      <w:szCs w:val="20"/>
    </w:rPr>
  </w:style>
  <w:style w:type="paragraph" w:styleId="CommentSubject">
    <w:name w:val="annotation subject"/>
    <w:basedOn w:val="CommentText"/>
    <w:next w:val="CommentText"/>
    <w:link w:val="CommentSubjectChar"/>
    <w:uiPriority w:val="99"/>
    <w:semiHidden/>
    <w:unhideWhenUsed/>
    <w:rsid w:val="007F0648"/>
    <w:rPr>
      <w:b/>
      <w:bCs/>
    </w:rPr>
  </w:style>
  <w:style w:type="character" w:customStyle="1" w:styleId="CommentSubjectChar">
    <w:name w:val="Comment Subject Char"/>
    <w:basedOn w:val="CommentTextChar"/>
    <w:link w:val="CommentSubject"/>
    <w:uiPriority w:val="99"/>
    <w:semiHidden/>
    <w:rsid w:val="007F0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88495">
      <w:bodyDiv w:val="1"/>
      <w:marLeft w:val="0"/>
      <w:marRight w:val="0"/>
      <w:marTop w:val="0"/>
      <w:marBottom w:val="0"/>
      <w:divBdr>
        <w:top w:val="none" w:sz="0" w:space="0" w:color="auto"/>
        <w:left w:val="none" w:sz="0" w:space="0" w:color="auto"/>
        <w:bottom w:val="none" w:sz="0" w:space="0" w:color="auto"/>
        <w:right w:val="none" w:sz="0" w:space="0" w:color="auto"/>
      </w:divBdr>
    </w:div>
    <w:div w:id="1778787622">
      <w:bodyDiv w:val="1"/>
      <w:marLeft w:val="0"/>
      <w:marRight w:val="0"/>
      <w:marTop w:val="0"/>
      <w:marBottom w:val="0"/>
      <w:divBdr>
        <w:top w:val="none" w:sz="0" w:space="0" w:color="auto"/>
        <w:left w:val="none" w:sz="0" w:space="0" w:color="auto"/>
        <w:bottom w:val="none" w:sz="0" w:space="0" w:color="auto"/>
        <w:right w:val="none" w:sz="0" w:space="0" w:color="auto"/>
      </w:divBdr>
    </w:div>
    <w:div w:id="1834178667">
      <w:bodyDiv w:val="1"/>
      <w:marLeft w:val="0"/>
      <w:marRight w:val="0"/>
      <w:marTop w:val="0"/>
      <w:marBottom w:val="0"/>
      <w:divBdr>
        <w:top w:val="none" w:sz="0" w:space="0" w:color="auto"/>
        <w:left w:val="none" w:sz="0" w:space="0" w:color="auto"/>
        <w:bottom w:val="none" w:sz="0" w:space="0" w:color="auto"/>
        <w:right w:val="none" w:sz="0" w:space="0" w:color="auto"/>
      </w:divBdr>
    </w:div>
    <w:div w:id="18466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eating-and-drinking-out-panel/" TargetMode="External"/><Relationship Id="rId3" Type="http://schemas.openxmlformats.org/officeDocument/2006/relationships/settings" Target="settings.xml"/><Relationship Id="rId7" Type="http://schemas.openxmlformats.org/officeDocument/2006/relationships/hyperlink" Target="https://store.lumina-intelligence.com/product/uk-food-to-go-market-report-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product/operator-dat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Katie Gallagher</cp:lastModifiedBy>
  <cp:revision>4</cp:revision>
  <dcterms:created xsi:type="dcterms:W3CDTF">2025-03-17T13:57:00Z</dcterms:created>
  <dcterms:modified xsi:type="dcterms:W3CDTF">2025-03-17T14:02:00Z</dcterms:modified>
</cp:coreProperties>
</file>